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FB441" w14:textId="50125FCC" w:rsidR="002653E0" w:rsidRPr="005D736A" w:rsidRDefault="002653E0" w:rsidP="002653E0">
      <w:pPr>
        <w:tabs>
          <w:tab w:val="left" w:pos="1800"/>
          <w:tab w:val="center" w:pos="4536"/>
          <w:tab w:val="right" w:pos="9070"/>
        </w:tabs>
        <w:ind w:left="1800" w:hanging="1800"/>
        <w:jc w:val="both"/>
        <w:rPr>
          <w:rFonts w:ascii="Arial" w:eastAsia="Tahoma" w:hAnsi="Arial" w:cs="Arial"/>
          <w:b/>
          <w:bCs/>
          <w:i/>
          <w:sz w:val="22"/>
          <w:szCs w:val="22"/>
        </w:rPr>
      </w:pPr>
      <w:r w:rsidRPr="005D736A">
        <w:rPr>
          <w:rFonts w:ascii="Arial" w:eastAsia="Tahoma" w:hAnsi="Arial" w:cs="Arial"/>
          <w:b/>
          <w:bCs/>
          <w:sz w:val="22"/>
          <w:szCs w:val="22"/>
        </w:rPr>
        <w:t>3GPP TSG-RAN Meeting #</w:t>
      </w:r>
      <w:r w:rsidR="0019006A">
        <w:rPr>
          <w:rFonts w:ascii="Arial" w:eastAsia="Tahoma" w:hAnsi="Arial" w:cs="Arial"/>
          <w:b/>
          <w:bCs/>
          <w:sz w:val="22"/>
          <w:szCs w:val="22"/>
        </w:rPr>
        <w:t>95</w:t>
      </w:r>
      <w:r w:rsidRPr="005D736A">
        <w:rPr>
          <w:rFonts w:ascii="Arial" w:eastAsia="Tahoma" w:hAnsi="Arial" w:cs="Arial"/>
          <w:b/>
          <w:bCs/>
          <w:sz w:val="22"/>
          <w:szCs w:val="22"/>
        </w:rPr>
        <w:t>-e</w:t>
      </w:r>
      <w:r w:rsidRPr="005D736A">
        <w:rPr>
          <w:rFonts w:ascii="Arial" w:eastAsia="Tahoma" w:hAnsi="Arial" w:cs="Arial"/>
          <w:b/>
          <w:bCs/>
          <w:sz w:val="22"/>
          <w:szCs w:val="22"/>
        </w:rPr>
        <w:tab/>
      </w:r>
      <w:r w:rsidRPr="005D736A">
        <w:rPr>
          <w:rFonts w:ascii="Arial" w:eastAsia="Tahoma" w:hAnsi="Arial" w:cs="Arial"/>
          <w:b/>
          <w:bCs/>
          <w:i/>
          <w:sz w:val="22"/>
          <w:szCs w:val="22"/>
        </w:rPr>
        <w:tab/>
      </w:r>
      <w:r w:rsidR="00AB7EC6" w:rsidRPr="00AB7EC6">
        <w:rPr>
          <w:rFonts w:ascii="Arial" w:eastAsia="Tahoma" w:hAnsi="Arial" w:cs="Arial"/>
          <w:b/>
          <w:bCs/>
          <w:iCs/>
          <w:sz w:val="22"/>
          <w:szCs w:val="22"/>
        </w:rPr>
        <w:t>RP-220</w:t>
      </w:r>
      <w:r w:rsidR="001C4179">
        <w:rPr>
          <w:rFonts w:ascii="Arial" w:eastAsia="Tahoma" w:hAnsi="Arial" w:cs="Arial"/>
          <w:b/>
          <w:bCs/>
          <w:iCs/>
          <w:sz w:val="22"/>
          <w:szCs w:val="22"/>
        </w:rPr>
        <w:t>602</w:t>
      </w:r>
    </w:p>
    <w:p w14:paraId="5E32DD2D" w14:textId="784CAABB" w:rsidR="002653E0" w:rsidRPr="00356A7F" w:rsidRDefault="002653E0" w:rsidP="002653E0">
      <w:pPr>
        <w:tabs>
          <w:tab w:val="left" w:pos="1800"/>
          <w:tab w:val="center" w:pos="4536"/>
          <w:tab w:val="right" w:pos="9639"/>
        </w:tabs>
        <w:spacing w:after="120"/>
        <w:ind w:left="1797" w:hanging="1797"/>
        <w:jc w:val="both"/>
        <w:rPr>
          <w:sz w:val="22"/>
        </w:rPr>
      </w:pPr>
      <w:r w:rsidRPr="005D736A">
        <w:rPr>
          <w:rFonts w:ascii="Arial" w:eastAsia="Tahoma" w:hAnsi="Arial" w:cs="Arial"/>
          <w:b/>
          <w:bCs/>
          <w:sz w:val="22"/>
          <w:szCs w:val="22"/>
        </w:rPr>
        <w:t>Electronic,</w:t>
      </w:r>
      <w:r>
        <w:rPr>
          <w:rFonts w:ascii="Arial" w:eastAsia="Tahoma" w:hAnsi="Arial" w:cs="Arial"/>
          <w:b/>
          <w:bCs/>
          <w:sz w:val="22"/>
          <w:szCs w:val="22"/>
        </w:rPr>
        <w:t xml:space="preserve"> 21</w:t>
      </w:r>
      <w:r w:rsidRPr="00304658">
        <w:rPr>
          <w:rFonts w:ascii="Arial" w:eastAsia="Tahoma" w:hAnsi="Arial" w:cs="Arial"/>
          <w:b/>
          <w:bCs/>
          <w:sz w:val="22"/>
          <w:szCs w:val="22"/>
          <w:vertAlign w:val="superscript"/>
        </w:rPr>
        <w:t>st</w:t>
      </w:r>
      <w:r>
        <w:rPr>
          <w:rFonts w:ascii="Arial" w:eastAsia="Tahoma" w:hAnsi="Arial" w:cs="Arial"/>
          <w:b/>
          <w:bCs/>
          <w:sz w:val="22"/>
          <w:szCs w:val="22"/>
        </w:rPr>
        <w:t xml:space="preserve"> </w:t>
      </w:r>
      <w:r w:rsidR="00B53320">
        <w:rPr>
          <w:rFonts w:ascii="Arial" w:eastAsia="Tahoma" w:hAnsi="Arial" w:cs="Arial"/>
          <w:b/>
          <w:bCs/>
          <w:sz w:val="22"/>
          <w:szCs w:val="22"/>
        </w:rPr>
        <w:t>Mar.</w:t>
      </w:r>
      <w:r w:rsidRPr="005D736A">
        <w:rPr>
          <w:rFonts w:ascii="Arial" w:eastAsia="Tahoma" w:hAnsi="Arial" w:cs="Arial"/>
          <w:b/>
          <w:bCs/>
          <w:sz w:val="22"/>
          <w:szCs w:val="22"/>
        </w:rPr>
        <w:t xml:space="preserve"> – </w:t>
      </w:r>
      <w:r w:rsidR="00B53320">
        <w:rPr>
          <w:rFonts w:ascii="Arial" w:eastAsia="Tahoma" w:hAnsi="Arial" w:cs="Arial"/>
          <w:b/>
          <w:bCs/>
          <w:sz w:val="22"/>
          <w:szCs w:val="22"/>
        </w:rPr>
        <w:t>25</w:t>
      </w:r>
      <w:r w:rsidR="00B53320" w:rsidRPr="00B53320">
        <w:rPr>
          <w:rFonts w:ascii="Arial" w:eastAsia="Tahoma" w:hAnsi="Arial" w:cs="Arial"/>
          <w:b/>
          <w:bCs/>
          <w:sz w:val="22"/>
          <w:szCs w:val="22"/>
          <w:vertAlign w:val="superscript"/>
        </w:rPr>
        <w:t>th</w:t>
      </w:r>
      <w:r w:rsidR="00B53320">
        <w:rPr>
          <w:rFonts w:ascii="Arial" w:eastAsia="Tahoma" w:hAnsi="Arial" w:cs="Arial"/>
          <w:b/>
          <w:bCs/>
          <w:sz w:val="22"/>
          <w:szCs w:val="22"/>
        </w:rPr>
        <w:t xml:space="preserve"> Mar.</w:t>
      </w:r>
      <w:r w:rsidRPr="005D736A">
        <w:rPr>
          <w:rFonts w:ascii="Arial" w:eastAsia="Tahoma" w:hAnsi="Arial" w:cs="Arial"/>
          <w:b/>
          <w:bCs/>
          <w:sz w:val="22"/>
          <w:szCs w:val="22"/>
        </w:rPr>
        <w:t xml:space="preserve"> 202</w:t>
      </w:r>
      <w:r>
        <w:rPr>
          <w:rFonts w:ascii="Arial" w:eastAsia="Tahoma" w:hAnsi="Arial" w:cs="Arial"/>
          <w:b/>
          <w:bCs/>
          <w:sz w:val="22"/>
          <w:szCs w:val="22"/>
        </w:rPr>
        <w:t>2</w:t>
      </w:r>
    </w:p>
    <w:p w14:paraId="12157F2F" w14:textId="0613279F" w:rsidR="00036AD3" w:rsidRDefault="00C875F9">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5DBCD868" w14:textId="56AFFA14" w:rsidR="00036AD3" w:rsidRDefault="00C875F9" w:rsidP="00AB7EC6">
      <w:pPr>
        <w:pStyle w:val="ae"/>
        <w:tabs>
          <w:tab w:val="clear" w:pos="4536"/>
          <w:tab w:val="left" w:pos="1800"/>
        </w:tabs>
        <w:ind w:left="1800" w:hanging="1800"/>
        <w:rPr>
          <w:rFonts w:eastAsia="宋体"/>
          <w:sz w:val="22"/>
          <w:lang w:eastAsia="zh-CN"/>
        </w:rPr>
      </w:pPr>
      <w:r>
        <w:rPr>
          <w:rFonts w:eastAsia="宋体" w:hint="eastAsia"/>
          <w:sz w:val="22"/>
          <w:lang w:eastAsia="zh-CN"/>
        </w:rPr>
        <w:t>Title:</w:t>
      </w:r>
      <w:bookmarkStart w:id="0" w:name="Title"/>
      <w:bookmarkEnd w:id="0"/>
      <w:r>
        <w:rPr>
          <w:rFonts w:eastAsia="宋体" w:hint="eastAsia"/>
          <w:sz w:val="22"/>
          <w:lang w:eastAsia="zh-CN"/>
        </w:rPr>
        <w:tab/>
      </w:r>
      <w:r w:rsidR="001C4179" w:rsidRPr="001C4179">
        <w:rPr>
          <w:rFonts w:eastAsia="宋体"/>
          <w:sz w:val="22"/>
          <w:lang w:eastAsia="zh-CN"/>
        </w:rPr>
        <w:t>Discussion on RedCap features for non-RedCap UE</w:t>
      </w:r>
    </w:p>
    <w:p w14:paraId="30C6FFAC" w14:textId="5F621AE8" w:rsidR="00036AD3" w:rsidRDefault="00C875F9">
      <w:pPr>
        <w:pStyle w:val="ae"/>
        <w:tabs>
          <w:tab w:val="clear" w:pos="4536"/>
          <w:tab w:val="left" w:pos="1800"/>
        </w:tabs>
        <w:ind w:left="1800" w:hanging="1800"/>
        <w:rPr>
          <w:rFonts w:eastAsia="宋体"/>
          <w:sz w:val="22"/>
          <w:lang w:eastAsia="zh-CN"/>
        </w:rPr>
      </w:pPr>
      <w:r>
        <w:rPr>
          <w:rFonts w:eastAsia="宋体"/>
          <w:sz w:val="22"/>
          <w:lang w:eastAsia="zh-CN"/>
        </w:rPr>
        <w:t>Agenda Item:</w:t>
      </w:r>
      <w:bookmarkStart w:id="1" w:name="Source"/>
      <w:bookmarkEnd w:id="1"/>
      <w:r>
        <w:rPr>
          <w:rFonts w:eastAsia="宋体"/>
          <w:sz w:val="22"/>
          <w:lang w:eastAsia="zh-CN"/>
        </w:rPr>
        <w:tab/>
      </w:r>
      <w:r w:rsidR="006D4277">
        <w:rPr>
          <w:rFonts w:eastAsia="宋体"/>
          <w:sz w:val="22"/>
          <w:lang w:eastAsia="zh-CN"/>
        </w:rPr>
        <w:t>9.</w:t>
      </w:r>
      <w:r w:rsidR="008A16D6">
        <w:rPr>
          <w:rFonts w:eastAsia="宋体"/>
          <w:sz w:val="22"/>
          <w:lang w:eastAsia="zh-CN"/>
        </w:rPr>
        <w:t>5.1.7</w:t>
      </w:r>
    </w:p>
    <w:p w14:paraId="5D4B46EB" w14:textId="77777777" w:rsidR="00036AD3" w:rsidRDefault="00C875F9">
      <w:pPr>
        <w:pStyle w:val="ae"/>
        <w:tabs>
          <w:tab w:val="clear" w:pos="4536"/>
          <w:tab w:val="left" w:pos="1800"/>
        </w:tabs>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2" w:name="DocumentFor"/>
      <w:bookmarkEnd w:id="2"/>
      <w:r>
        <w:rPr>
          <w:rFonts w:eastAsia="宋体"/>
          <w:sz w:val="22"/>
          <w:lang w:eastAsia="zh-CN"/>
        </w:rPr>
        <w:t>Discussion and Decision</w:t>
      </w:r>
    </w:p>
    <w:p w14:paraId="2BEC929E" w14:textId="77777777" w:rsidR="00036AD3" w:rsidRDefault="00C875F9">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3" w:name="OLE_LINK14"/>
      <w:bookmarkStart w:id="4" w:name="OLE_LINK13"/>
      <w:r>
        <w:rPr>
          <w:rFonts w:cs="Times New Roman" w:hint="eastAsia"/>
          <w:b w:val="0"/>
          <w:bCs w:val="0"/>
          <w:kern w:val="0"/>
          <w:sz w:val="36"/>
          <w:szCs w:val="20"/>
          <w:lang w:val="en-GB" w:eastAsia="en-GB"/>
        </w:rPr>
        <w:t>Introduction</w:t>
      </w:r>
    </w:p>
    <w:p w14:paraId="41C18271" w14:textId="3F6D9424" w:rsidR="003B52B6" w:rsidRDefault="00213BDA" w:rsidP="00213BDA">
      <w:pPr>
        <w:pStyle w:val="aa"/>
        <w:tabs>
          <w:tab w:val="left" w:pos="425"/>
        </w:tabs>
        <w:rPr>
          <w:szCs w:val="20"/>
          <w:lang w:eastAsia="zh-CN"/>
        </w:rPr>
      </w:pPr>
      <w:r>
        <w:rPr>
          <w:rFonts w:hint="eastAsia"/>
          <w:szCs w:val="20"/>
          <w:lang w:eastAsia="zh-CN"/>
        </w:rPr>
        <w:t>I</w:t>
      </w:r>
      <w:r>
        <w:rPr>
          <w:szCs w:val="20"/>
          <w:lang w:eastAsia="zh-CN"/>
        </w:rPr>
        <w:t>n the WID for RedCap [1]</w:t>
      </w:r>
      <w:r w:rsidR="003B52B6">
        <w:rPr>
          <w:szCs w:val="20"/>
          <w:lang w:eastAsia="zh-CN"/>
        </w:rPr>
        <w:t>, two features regarding power saving</w:t>
      </w:r>
      <w:r w:rsidR="0080279B">
        <w:rPr>
          <w:szCs w:val="20"/>
          <w:lang w:eastAsia="zh-CN"/>
        </w:rPr>
        <w:t>, i.e. eDRX and RRM</w:t>
      </w:r>
      <w:r w:rsidR="0086780D">
        <w:rPr>
          <w:szCs w:val="20"/>
          <w:lang w:eastAsia="zh-CN"/>
        </w:rPr>
        <w:t xml:space="preserve"> relaxation</w:t>
      </w:r>
      <w:r w:rsidR="0080279B">
        <w:rPr>
          <w:szCs w:val="20"/>
          <w:lang w:eastAsia="zh-CN"/>
        </w:rPr>
        <w:t xml:space="preserve"> </w:t>
      </w:r>
      <w:r w:rsidR="003B52B6">
        <w:rPr>
          <w:szCs w:val="20"/>
          <w:lang w:eastAsia="zh-CN"/>
        </w:rPr>
        <w:t>were included:</w:t>
      </w:r>
    </w:p>
    <w:tbl>
      <w:tblPr>
        <w:tblStyle w:val="af1"/>
        <w:tblW w:w="0" w:type="auto"/>
        <w:tblLook w:val="04A0" w:firstRow="1" w:lastRow="0" w:firstColumn="1" w:lastColumn="0" w:noHBand="0" w:noVBand="1"/>
      </w:tblPr>
      <w:tblGrid>
        <w:gridCol w:w="9060"/>
      </w:tblGrid>
      <w:tr w:rsidR="003B52B6" w14:paraId="2FF8C7A0" w14:textId="77777777" w:rsidTr="003B52B6">
        <w:tc>
          <w:tcPr>
            <w:tcW w:w="9060" w:type="dxa"/>
          </w:tcPr>
          <w:p w14:paraId="760F1957" w14:textId="77777777" w:rsidR="003B52B6" w:rsidRPr="00B66BB9" w:rsidRDefault="003B52B6" w:rsidP="003B52B6">
            <w:pPr>
              <w:pStyle w:val="B1"/>
              <w:numPr>
                <w:ilvl w:val="0"/>
                <w:numId w:val="6"/>
              </w:numPr>
              <w:jc w:val="both"/>
              <w:rPr>
                <w:lang w:eastAsia="ja-JP"/>
              </w:rPr>
            </w:pPr>
            <w:r w:rsidRPr="00B66BB9">
              <w:rPr>
                <w:lang w:eastAsia="ja-JP"/>
              </w:rPr>
              <w:t>Specify support for the following Extended DRX enhancements for RedCap UEs [RAN2, RAN3, RAN4]:</w:t>
            </w:r>
          </w:p>
          <w:p w14:paraId="3C4C251A" w14:textId="77777777" w:rsidR="003B52B6" w:rsidRPr="00B66BB9" w:rsidRDefault="003B52B6" w:rsidP="003B52B6">
            <w:pPr>
              <w:pStyle w:val="B1"/>
              <w:numPr>
                <w:ilvl w:val="1"/>
                <w:numId w:val="6"/>
              </w:numPr>
              <w:jc w:val="both"/>
              <w:rPr>
                <w:bCs/>
                <w:lang w:eastAsia="ja-JP"/>
              </w:rPr>
            </w:pPr>
            <w:r w:rsidRPr="00B66BB9">
              <w:rPr>
                <w:bCs/>
                <w:lang w:eastAsia="ja-JP"/>
              </w:rPr>
              <w:t>Extended DRX for RRC Inactive and Idle with eDRX cycles up to 10.24 s, without using PTW and PH, and with common design (e.g. common set of eDRX values) between RRC Inactive and Idle</w:t>
            </w:r>
          </w:p>
          <w:p w14:paraId="50383215" w14:textId="77777777" w:rsidR="003B52B6" w:rsidRPr="00B66BB9" w:rsidRDefault="003B52B6" w:rsidP="003B52B6">
            <w:pPr>
              <w:pStyle w:val="B1"/>
              <w:numPr>
                <w:ilvl w:val="1"/>
                <w:numId w:val="6"/>
              </w:numPr>
              <w:jc w:val="both"/>
            </w:pPr>
            <w:r w:rsidRPr="00B66BB9">
              <w:rPr>
                <w:bCs/>
                <w:lang w:eastAsia="ja-JP"/>
              </w:rPr>
              <w:t xml:space="preserve">Extended DRX for RRC Inactive and Idle with eDRX cycles up to 10485.76 s; </w:t>
            </w:r>
            <w:r w:rsidRPr="00B66BB9">
              <w:t>the details of mechanisms and feasibility regarding maximum length of the extended DRX cycles for RRC Inactive and Idle need to be checked by SA2, CT1 and/or RAN4.</w:t>
            </w:r>
          </w:p>
          <w:p w14:paraId="16E62F17" w14:textId="77777777" w:rsidR="003B52B6" w:rsidRPr="00B66BB9" w:rsidRDefault="003B52B6" w:rsidP="003B52B6">
            <w:pPr>
              <w:pStyle w:val="B1"/>
              <w:numPr>
                <w:ilvl w:val="1"/>
                <w:numId w:val="6"/>
              </w:numPr>
              <w:jc w:val="both"/>
            </w:pPr>
            <w:r w:rsidRPr="00B66BB9">
              <w:rPr>
                <w:bCs/>
                <w:lang w:eastAsia="ja-JP"/>
              </w:rPr>
              <w:t>RAN2 to decide which Node(s) configure eDRX in RRC_Idle and RRC_Inactive.</w:t>
            </w:r>
          </w:p>
          <w:p w14:paraId="17A94892" w14:textId="20ACBBED" w:rsidR="003B52B6" w:rsidRPr="00B66BB9" w:rsidRDefault="003B52B6" w:rsidP="003B52B6">
            <w:pPr>
              <w:pStyle w:val="B1"/>
              <w:numPr>
                <w:ilvl w:val="0"/>
                <w:numId w:val="6"/>
              </w:numPr>
              <w:jc w:val="both"/>
              <w:rPr>
                <w:bCs/>
                <w:lang w:eastAsia="ja-JP"/>
              </w:rPr>
            </w:pPr>
            <w:r w:rsidRPr="00B66BB9">
              <w:rPr>
                <w:bCs/>
                <w:lang w:eastAsia="ja-JP"/>
              </w:rPr>
              <w:t>Specify support for the following RRM measurement relaxations for neighbouring cells for RedCap devices: for RRC_Idle/Inactive/Connected [RAN2, RAN4]:</w:t>
            </w:r>
          </w:p>
          <w:p w14:paraId="5E554A26" w14:textId="77777777" w:rsidR="003B52B6" w:rsidRPr="00C40ECA" w:rsidRDefault="003B52B6" w:rsidP="003B52B6">
            <w:pPr>
              <w:pStyle w:val="B1"/>
              <w:numPr>
                <w:ilvl w:val="1"/>
                <w:numId w:val="6"/>
              </w:numPr>
              <w:jc w:val="both"/>
              <w:rPr>
                <w:bCs/>
                <w:lang w:eastAsia="ja-JP"/>
              </w:rPr>
            </w:pPr>
            <w:r w:rsidRPr="00B66BB9">
              <w:rPr>
                <w:bCs/>
                <w:lang w:eastAsia="ja-JP"/>
              </w:rPr>
              <w:t xml:space="preserve">Specify </w:t>
            </w:r>
            <w:r>
              <w:rPr>
                <w:bCs/>
                <w:lang w:eastAsia="ja-JP"/>
              </w:rPr>
              <w:t>measurement (</w:t>
            </w:r>
            <w:r w:rsidRPr="00B66BB9">
              <w:rPr>
                <w:bCs/>
                <w:lang w:eastAsia="ja-JP"/>
              </w:rPr>
              <w:t>RSRP/RSRQ</w:t>
            </w:r>
            <w:r>
              <w:rPr>
                <w:bCs/>
                <w:lang w:eastAsia="ja-JP"/>
              </w:rPr>
              <w:t>)</w:t>
            </w:r>
            <w:r w:rsidRPr="00B66BB9">
              <w:rPr>
                <w:bCs/>
                <w:lang w:eastAsia="ja-JP"/>
              </w:rPr>
              <w:t xml:space="preserve"> based stationar</w:t>
            </w:r>
            <w:r>
              <w:rPr>
                <w:bCs/>
                <w:lang w:eastAsia="ja-JP"/>
              </w:rPr>
              <w:t>it</w:t>
            </w:r>
            <w:r w:rsidRPr="00B66BB9">
              <w:rPr>
                <w:bCs/>
                <w:lang w:eastAsia="ja-JP"/>
              </w:rPr>
              <w:t xml:space="preserve">y criterion </w:t>
            </w:r>
            <w:r>
              <w:rPr>
                <w:bCs/>
                <w:lang w:eastAsia="ja-JP"/>
              </w:rPr>
              <w:t xml:space="preserve">and not-at-cell-edge criterion </w:t>
            </w:r>
            <w:r w:rsidRPr="00B66BB9">
              <w:rPr>
                <w:bCs/>
                <w:lang w:eastAsia="ja-JP"/>
              </w:rPr>
              <w:t>[RAN2]</w:t>
            </w:r>
          </w:p>
          <w:p w14:paraId="090A8A58" w14:textId="77777777" w:rsidR="003B52B6" w:rsidRPr="00B66BB9" w:rsidRDefault="003B52B6" w:rsidP="003B52B6">
            <w:pPr>
              <w:pStyle w:val="B1"/>
              <w:numPr>
                <w:ilvl w:val="2"/>
                <w:numId w:val="6"/>
              </w:numPr>
              <w:jc w:val="both"/>
              <w:rPr>
                <w:bCs/>
                <w:lang w:eastAsia="ja-JP"/>
              </w:rPr>
            </w:pPr>
            <w:r w:rsidRPr="00B66BB9">
              <w:rPr>
                <w:bCs/>
                <w:lang w:eastAsia="ja-JP"/>
              </w:rPr>
              <w:t>Enabling/disabling of RRM measurement relaxation should be under the network’s control. Specify both broadcast and dedicated signalling for enabling/disabling of RRM measurement relaxation.</w:t>
            </w:r>
          </w:p>
          <w:p w14:paraId="746A1314" w14:textId="1DFDC054" w:rsidR="003B52B6" w:rsidRPr="00B66BB9" w:rsidRDefault="003B52B6" w:rsidP="003B52B6">
            <w:pPr>
              <w:pStyle w:val="B1"/>
              <w:numPr>
                <w:ilvl w:val="1"/>
                <w:numId w:val="6"/>
              </w:numPr>
              <w:jc w:val="both"/>
              <w:rPr>
                <w:bCs/>
                <w:lang w:eastAsia="ja-JP"/>
              </w:rPr>
            </w:pPr>
            <w:r w:rsidRPr="00B66BB9">
              <w:rPr>
                <w:bCs/>
                <w:lang w:eastAsia="ja-JP"/>
              </w:rPr>
              <w:t xml:space="preserve">Specify </w:t>
            </w:r>
            <w:r>
              <w:rPr>
                <w:bCs/>
                <w:lang w:eastAsia="ja-JP"/>
              </w:rPr>
              <w:t xml:space="preserve">UE requirements for </w:t>
            </w:r>
            <w:r w:rsidRPr="00B66BB9">
              <w:rPr>
                <w:bCs/>
                <w:lang w:eastAsia="ja-JP"/>
              </w:rPr>
              <w:t>RRM measurement relaxation [RAN4]</w:t>
            </w:r>
          </w:p>
          <w:p w14:paraId="064C161B" w14:textId="008A19BB" w:rsidR="003B52B6" w:rsidRPr="003B52B6" w:rsidRDefault="003B52B6" w:rsidP="003B52B6">
            <w:pPr>
              <w:pStyle w:val="B1"/>
              <w:numPr>
                <w:ilvl w:val="1"/>
                <w:numId w:val="6"/>
              </w:numPr>
              <w:jc w:val="both"/>
              <w:rPr>
                <w:bCs/>
                <w:lang w:eastAsia="ja-JP"/>
              </w:rPr>
            </w:pPr>
            <w:r w:rsidRPr="00B66BB9">
              <w:rPr>
                <w:bCs/>
                <w:lang w:eastAsia="ja-JP"/>
              </w:rPr>
              <w:t xml:space="preserve">No RRM measurement relaxations are specified for the serving cell. </w:t>
            </w:r>
          </w:p>
        </w:tc>
      </w:tr>
    </w:tbl>
    <w:p w14:paraId="4ABE63FF" w14:textId="2C650580" w:rsidR="00F2075F" w:rsidRPr="003B52B6" w:rsidRDefault="00F2075F" w:rsidP="00213BDA">
      <w:pPr>
        <w:pStyle w:val="aa"/>
        <w:tabs>
          <w:tab w:val="left" w:pos="425"/>
        </w:tabs>
        <w:rPr>
          <w:szCs w:val="20"/>
          <w:lang w:eastAsia="zh-CN"/>
        </w:rPr>
      </w:pPr>
      <w:r>
        <w:rPr>
          <w:rFonts w:hint="eastAsia"/>
          <w:szCs w:val="20"/>
          <w:lang w:eastAsia="zh-CN"/>
        </w:rPr>
        <w:t>B</w:t>
      </w:r>
      <w:r>
        <w:rPr>
          <w:szCs w:val="20"/>
          <w:lang w:eastAsia="zh-CN"/>
        </w:rPr>
        <w:t xml:space="preserve">esides, </w:t>
      </w:r>
      <w:r w:rsidR="003E3D69" w:rsidRPr="003E3D69">
        <w:rPr>
          <w:szCs w:val="20"/>
          <w:lang w:eastAsia="zh-CN"/>
        </w:rPr>
        <w:t>it was</w:t>
      </w:r>
      <w:r w:rsidR="00E36070">
        <w:rPr>
          <w:szCs w:val="20"/>
          <w:lang w:eastAsia="zh-CN"/>
        </w:rPr>
        <w:t xml:space="preserve"> concluded to support NCD-SSB for </w:t>
      </w:r>
      <w:r w:rsidR="003E3D69">
        <w:rPr>
          <w:szCs w:val="20"/>
          <w:lang w:eastAsia="zh-CN"/>
        </w:rPr>
        <w:t>RRC_CONNECTED</w:t>
      </w:r>
      <w:r w:rsidR="00E36070">
        <w:rPr>
          <w:szCs w:val="20"/>
          <w:lang w:eastAsia="zh-CN"/>
        </w:rPr>
        <w:t xml:space="preserve"> RedCap UEs.</w:t>
      </w:r>
    </w:p>
    <w:p w14:paraId="5001EBCC" w14:textId="54E9D1E5" w:rsidR="00015CAC" w:rsidRDefault="00E36070" w:rsidP="00E84060">
      <w:pPr>
        <w:pStyle w:val="aa"/>
        <w:tabs>
          <w:tab w:val="left" w:pos="425"/>
        </w:tabs>
        <w:rPr>
          <w:lang w:val="en-GB" w:eastAsia="en-GB"/>
        </w:rPr>
      </w:pPr>
      <w:r>
        <w:rPr>
          <w:szCs w:val="20"/>
          <w:lang w:eastAsia="zh-CN"/>
        </w:rPr>
        <w:t>However, d</w:t>
      </w:r>
      <w:r w:rsidR="0080279B">
        <w:rPr>
          <w:szCs w:val="20"/>
          <w:lang w:eastAsia="zh-CN"/>
        </w:rPr>
        <w:t xml:space="preserve">uring the </w:t>
      </w:r>
      <w:r w:rsidR="00CB1E8C">
        <w:rPr>
          <w:szCs w:val="20"/>
          <w:lang w:eastAsia="zh-CN"/>
        </w:rPr>
        <w:t>discussion in RAN1/RAN2/RAN4, companies have different views on whether these features in RedCap WI could be also applied to non-RedCap UE</w:t>
      </w:r>
      <w:r w:rsidR="002128E8">
        <w:rPr>
          <w:szCs w:val="20"/>
          <w:lang w:eastAsia="zh-CN"/>
        </w:rPr>
        <w:t>s</w:t>
      </w:r>
      <w:r w:rsidR="00BE02E5">
        <w:rPr>
          <w:szCs w:val="20"/>
          <w:lang w:eastAsia="zh-CN"/>
        </w:rPr>
        <w:t>.</w:t>
      </w:r>
      <w:r w:rsidR="003E3D69">
        <w:rPr>
          <w:szCs w:val="20"/>
          <w:lang w:eastAsia="zh-CN"/>
        </w:rPr>
        <w:t xml:space="preserve"> </w:t>
      </w:r>
      <w:r w:rsidR="00FD06CC">
        <w:rPr>
          <w:rFonts w:hint="eastAsia"/>
          <w:lang w:val="en-GB" w:eastAsia="en-GB"/>
        </w:rPr>
        <w:t xml:space="preserve">In this </w:t>
      </w:r>
      <w:r w:rsidR="00FD06CC">
        <w:rPr>
          <w:lang w:val="en-GB" w:eastAsia="en-GB"/>
        </w:rPr>
        <w:t>contribution</w:t>
      </w:r>
      <w:r w:rsidR="00FD06CC">
        <w:rPr>
          <w:rFonts w:hint="eastAsia"/>
          <w:lang w:val="en-GB" w:eastAsia="en-GB"/>
        </w:rPr>
        <w:t>, we</w:t>
      </w:r>
      <w:r w:rsidR="00DF11DC">
        <w:rPr>
          <w:lang w:val="en-GB" w:eastAsia="en-GB"/>
        </w:rPr>
        <w:t xml:space="preserve"> would </w:t>
      </w:r>
      <w:r w:rsidR="00FD06CC">
        <w:rPr>
          <w:lang w:val="en-GB" w:eastAsia="en-GB"/>
        </w:rPr>
        <w:t>like to</w:t>
      </w:r>
      <w:r w:rsidR="00FD06CC">
        <w:rPr>
          <w:rFonts w:hint="eastAsia"/>
          <w:lang w:val="en-GB" w:eastAsia="en-GB"/>
        </w:rPr>
        <w:t xml:space="preserve"> share our views </w:t>
      </w:r>
      <w:r w:rsidR="00111AD6">
        <w:rPr>
          <w:lang w:val="en-GB" w:eastAsia="en-GB"/>
        </w:rPr>
        <w:t xml:space="preserve">on whether these features </w:t>
      </w:r>
      <w:r w:rsidR="00EC7937">
        <w:rPr>
          <w:lang w:val="en-GB" w:eastAsia="en-GB"/>
        </w:rPr>
        <w:t>introduced</w:t>
      </w:r>
      <w:r w:rsidR="003E3D69">
        <w:rPr>
          <w:lang w:val="en-GB" w:eastAsia="en-GB"/>
        </w:rPr>
        <w:t xml:space="preserve"> </w:t>
      </w:r>
      <w:r w:rsidR="00111AD6">
        <w:rPr>
          <w:lang w:val="en-GB" w:eastAsia="en-GB"/>
        </w:rPr>
        <w:t>in RedCap WI could be applied to non-RedCap UEs.</w:t>
      </w:r>
      <w:r w:rsidR="00015CAC">
        <w:rPr>
          <w:lang w:val="en-GB" w:eastAsia="en-GB"/>
        </w:rPr>
        <w:t xml:space="preserve"> </w:t>
      </w:r>
    </w:p>
    <w:p w14:paraId="1C2B5592" w14:textId="457E8699" w:rsidR="00AB433F" w:rsidRDefault="00AB433F" w:rsidP="004B7A86">
      <w:pPr>
        <w:pStyle w:val="aa"/>
        <w:tabs>
          <w:tab w:val="left" w:pos="425"/>
        </w:tabs>
        <w:rPr>
          <w:szCs w:val="20"/>
          <w:lang w:eastAsia="zh-CN"/>
        </w:rPr>
      </w:pPr>
    </w:p>
    <w:p w14:paraId="01B8A416" w14:textId="77777777" w:rsidR="00036AD3" w:rsidRDefault="00C875F9">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3BB31AF2" w14:textId="1F68DD98" w:rsidR="00AE53BE" w:rsidRPr="00AE7A4A" w:rsidRDefault="00AE53BE" w:rsidP="00AE53BE">
      <w:pPr>
        <w:pStyle w:val="20"/>
        <w:keepLines/>
        <w:numPr>
          <w:ilvl w:val="1"/>
          <w:numId w:val="5"/>
        </w:numPr>
        <w:overflowPunct w:val="0"/>
        <w:autoSpaceDE w:val="0"/>
        <w:autoSpaceDN w:val="0"/>
        <w:adjustRightInd w:val="0"/>
        <w:spacing w:before="180" w:after="180"/>
        <w:jc w:val="both"/>
        <w:textAlignment w:val="baseline"/>
        <w:rPr>
          <w:rFonts w:eastAsia="宋体"/>
          <w:b w:val="0"/>
          <w:sz w:val="30"/>
          <w:szCs w:val="30"/>
          <w:lang w:val="en-GB"/>
        </w:rPr>
      </w:pPr>
      <w:r>
        <w:rPr>
          <w:rFonts w:eastAsia="宋体"/>
          <w:b w:val="0"/>
          <w:sz w:val="30"/>
          <w:szCs w:val="30"/>
          <w:lang w:val="en-GB"/>
        </w:rPr>
        <w:t xml:space="preserve">Power Saving Features </w:t>
      </w:r>
    </w:p>
    <w:p w14:paraId="180F60D7" w14:textId="292610FD" w:rsidR="007640ED" w:rsidRDefault="007640ED" w:rsidP="006904A8">
      <w:pPr>
        <w:pStyle w:val="aa"/>
        <w:tabs>
          <w:tab w:val="left" w:pos="425"/>
        </w:tabs>
        <w:rPr>
          <w:szCs w:val="20"/>
          <w:lang w:val="en-GB" w:eastAsia="zh-CN"/>
        </w:rPr>
      </w:pPr>
      <w:r>
        <w:rPr>
          <w:szCs w:val="20"/>
          <w:lang w:val="en-GB" w:eastAsia="zh-CN"/>
        </w:rPr>
        <w:t xml:space="preserve">There are two features included in the WID </w:t>
      </w:r>
      <w:r w:rsidR="003E3D69">
        <w:rPr>
          <w:szCs w:val="20"/>
          <w:lang w:val="en-GB" w:eastAsia="zh-CN"/>
        </w:rPr>
        <w:t xml:space="preserve">for </w:t>
      </w:r>
      <w:r>
        <w:rPr>
          <w:szCs w:val="20"/>
          <w:lang w:val="en-GB" w:eastAsia="zh-CN"/>
        </w:rPr>
        <w:t xml:space="preserve">RedCap: </w:t>
      </w:r>
      <w:r>
        <w:rPr>
          <w:rFonts w:hint="eastAsia"/>
          <w:szCs w:val="20"/>
          <w:lang w:val="en-GB" w:eastAsia="zh-CN"/>
        </w:rPr>
        <w:t>e</w:t>
      </w:r>
      <w:r>
        <w:rPr>
          <w:szCs w:val="20"/>
          <w:lang w:val="en-GB" w:eastAsia="zh-CN"/>
        </w:rPr>
        <w:t>DRX and RRM relaxation.</w:t>
      </w:r>
    </w:p>
    <w:p w14:paraId="165A2D5C" w14:textId="346688BC" w:rsidR="0011516C" w:rsidRDefault="000568E4" w:rsidP="006904A8">
      <w:pPr>
        <w:pStyle w:val="aa"/>
        <w:tabs>
          <w:tab w:val="left" w:pos="425"/>
        </w:tabs>
        <w:rPr>
          <w:szCs w:val="20"/>
          <w:lang w:val="en-GB" w:eastAsia="zh-CN"/>
        </w:rPr>
      </w:pPr>
      <w:r>
        <w:rPr>
          <w:szCs w:val="20"/>
          <w:lang w:val="en-GB" w:eastAsia="zh-CN"/>
        </w:rPr>
        <w:t>For eDRX</w:t>
      </w:r>
      <w:r w:rsidR="007E086F">
        <w:rPr>
          <w:szCs w:val="20"/>
          <w:lang w:val="en-GB" w:eastAsia="zh-CN"/>
        </w:rPr>
        <w:t xml:space="preserve">, </w:t>
      </w:r>
      <w:r w:rsidR="003E3D69">
        <w:rPr>
          <w:szCs w:val="20"/>
          <w:lang w:val="en-GB" w:eastAsia="zh-CN"/>
        </w:rPr>
        <w:t xml:space="preserve">following </w:t>
      </w:r>
      <w:r w:rsidR="007E086F">
        <w:rPr>
          <w:szCs w:val="20"/>
          <w:lang w:val="en-GB" w:eastAsia="zh-CN"/>
        </w:rPr>
        <w:t>was agreed</w:t>
      </w:r>
      <w:r w:rsidRPr="000568E4">
        <w:rPr>
          <w:szCs w:val="20"/>
          <w:lang w:val="en-GB" w:eastAsia="zh-CN"/>
        </w:rPr>
        <w:t xml:space="preserve"> </w:t>
      </w:r>
      <w:r>
        <w:rPr>
          <w:szCs w:val="20"/>
          <w:lang w:val="en-GB" w:eastAsia="zh-CN"/>
        </w:rPr>
        <w:t>in RAN2#115e meeting</w:t>
      </w:r>
      <w:r w:rsidR="00532D72">
        <w:rPr>
          <w:szCs w:val="20"/>
          <w:lang w:val="en-GB" w:eastAsia="zh-CN"/>
        </w:rPr>
        <w:t>:</w:t>
      </w:r>
    </w:p>
    <w:tbl>
      <w:tblPr>
        <w:tblStyle w:val="af1"/>
        <w:tblW w:w="0" w:type="auto"/>
        <w:tblLook w:val="04A0" w:firstRow="1" w:lastRow="0" w:firstColumn="1" w:lastColumn="0" w:noHBand="0" w:noVBand="1"/>
      </w:tblPr>
      <w:tblGrid>
        <w:gridCol w:w="9060"/>
      </w:tblGrid>
      <w:tr w:rsidR="007E086F" w14:paraId="3205978B" w14:textId="77777777" w:rsidTr="007E086F">
        <w:tc>
          <w:tcPr>
            <w:tcW w:w="9060" w:type="dxa"/>
          </w:tcPr>
          <w:p w14:paraId="0B96C4B9" w14:textId="07FE5B38" w:rsidR="007E086F" w:rsidRPr="007E086F" w:rsidRDefault="007E086F" w:rsidP="007E086F">
            <w:pPr>
              <w:pStyle w:val="aa"/>
              <w:numPr>
                <w:ilvl w:val="0"/>
                <w:numId w:val="28"/>
              </w:numPr>
              <w:tabs>
                <w:tab w:val="left" w:pos="425"/>
              </w:tabs>
              <w:rPr>
                <w:szCs w:val="20"/>
                <w:lang w:val="en-GB"/>
              </w:rPr>
            </w:pPr>
            <w:r w:rsidRPr="007E086F">
              <w:rPr>
                <w:szCs w:val="20"/>
                <w:lang w:val="en-GB"/>
              </w:rPr>
              <w:lastRenderedPageBreak/>
              <w:t>eDRX feature is optional for any UE (including RedCap and non-RedCap UEs).</w:t>
            </w:r>
          </w:p>
        </w:tc>
      </w:tr>
    </w:tbl>
    <w:p w14:paraId="2D0CC156" w14:textId="68792811" w:rsidR="007E086F" w:rsidRDefault="007E086F" w:rsidP="006904A8">
      <w:pPr>
        <w:pStyle w:val="aa"/>
        <w:tabs>
          <w:tab w:val="left" w:pos="425"/>
        </w:tabs>
        <w:rPr>
          <w:szCs w:val="20"/>
          <w:lang w:val="en-GB" w:eastAsia="zh-CN"/>
        </w:rPr>
      </w:pPr>
    </w:p>
    <w:p w14:paraId="0B02F117" w14:textId="709A37D6" w:rsidR="00532D72" w:rsidRDefault="00532D72" w:rsidP="006904A8">
      <w:pPr>
        <w:pStyle w:val="aa"/>
        <w:tabs>
          <w:tab w:val="left" w:pos="425"/>
        </w:tabs>
        <w:rPr>
          <w:szCs w:val="20"/>
          <w:lang w:val="en-GB" w:eastAsia="zh-CN"/>
        </w:rPr>
      </w:pPr>
      <w:r>
        <w:rPr>
          <w:rFonts w:hint="eastAsia"/>
          <w:szCs w:val="20"/>
          <w:lang w:val="en-GB" w:eastAsia="zh-CN"/>
        </w:rPr>
        <w:t>F</w:t>
      </w:r>
      <w:r>
        <w:rPr>
          <w:szCs w:val="20"/>
          <w:lang w:val="en-GB" w:eastAsia="zh-CN"/>
        </w:rPr>
        <w:t xml:space="preserve">or RRM relaxation, RAN2 had the corresponding discussion </w:t>
      </w:r>
      <w:r w:rsidR="00301BB7">
        <w:rPr>
          <w:szCs w:val="20"/>
          <w:lang w:val="en-GB" w:eastAsia="zh-CN"/>
        </w:rPr>
        <w:t>on whether RRM relaxation could be also applied for non-Red</w:t>
      </w:r>
      <w:r w:rsidR="00301BB7">
        <w:rPr>
          <w:rFonts w:hint="eastAsia"/>
          <w:szCs w:val="20"/>
          <w:lang w:val="en-GB" w:eastAsia="zh-CN"/>
        </w:rPr>
        <w:t>C</w:t>
      </w:r>
      <w:r w:rsidR="00301BB7">
        <w:rPr>
          <w:szCs w:val="20"/>
          <w:lang w:val="en-GB" w:eastAsia="zh-CN"/>
        </w:rPr>
        <w:t>ap UEs in RAN2#116bis</w:t>
      </w:r>
      <w:r w:rsidR="00FB4A12">
        <w:rPr>
          <w:szCs w:val="20"/>
          <w:lang w:val="en-GB" w:eastAsia="zh-CN"/>
        </w:rPr>
        <w:t xml:space="preserve">-e </w:t>
      </w:r>
      <w:r w:rsidR="00301BB7">
        <w:rPr>
          <w:szCs w:val="20"/>
          <w:lang w:val="en-GB" w:eastAsia="zh-CN"/>
        </w:rPr>
        <w:t xml:space="preserve">and RAN2#117-e meeting. </w:t>
      </w:r>
      <w:r w:rsidR="00D16B9B">
        <w:rPr>
          <w:szCs w:val="20"/>
          <w:lang w:val="en-GB" w:eastAsia="zh-CN"/>
        </w:rPr>
        <w:t>During the discussion</w:t>
      </w:r>
      <w:r w:rsidR="00AE0A63">
        <w:rPr>
          <w:szCs w:val="20"/>
          <w:lang w:val="en-GB" w:eastAsia="zh-CN"/>
        </w:rPr>
        <w:t xml:space="preserve"> [2]</w:t>
      </w:r>
      <w:r w:rsidR="0074278A">
        <w:rPr>
          <w:szCs w:val="20"/>
          <w:lang w:val="en-GB" w:eastAsia="zh-CN"/>
        </w:rPr>
        <w:t xml:space="preserve"> in RAN2</w:t>
      </w:r>
      <w:r w:rsidR="00E2383C">
        <w:rPr>
          <w:szCs w:val="20"/>
          <w:lang w:val="en-GB" w:eastAsia="zh-CN"/>
        </w:rPr>
        <w:t>#117-e meeting</w:t>
      </w:r>
      <w:r w:rsidR="00D16B9B">
        <w:rPr>
          <w:szCs w:val="20"/>
          <w:lang w:val="en-GB" w:eastAsia="zh-CN"/>
        </w:rPr>
        <w:t xml:space="preserve">, </w:t>
      </w:r>
      <w:r w:rsidR="00F339FE">
        <w:rPr>
          <w:szCs w:val="20"/>
          <w:lang w:val="en-GB" w:eastAsia="zh-CN"/>
        </w:rPr>
        <w:t>companies have different views</w:t>
      </w:r>
      <w:r w:rsidR="00446341">
        <w:rPr>
          <w:szCs w:val="20"/>
          <w:lang w:val="en-GB" w:eastAsia="zh-CN"/>
        </w:rPr>
        <w:t xml:space="preserve"> as below</w:t>
      </w:r>
      <w:r w:rsidR="00533D24">
        <w:rPr>
          <w:szCs w:val="20"/>
          <w:lang w:val="en-GB" w:eastAsia="zh-CN"/>
        </w:rPr>
        <w:t>:</w:t>
      </w:r>
    </w:p>
    <w:tbl>
      <w:tblPr>
        <w:tblStyle w:val="af1"/>
        <w:tblW w:w="0" w:type="auto"/>
        <w:tblLook w:val="04A0" w:firstRow="1" w:lastRow="0" w:firstColumn="1" w:lastColumn="0" w:noHBand="0" w:noVBand="1"/>
      </w:tblPr>
      <w:tblGrid>
        <w:gridCol w:w="9060"/>
      </w:tblGrid>
      <w:tr w:rsidR="00717C67" w14:paraId="58D77639" w14:textId="77777777" w:rsidTr="00717C67">
        <w:tc>
          <w:tcPr>
            <w:tcW w:w="9060" w:type="dxa"/>
          </w:tcPr>
          <w:p w14:paraId="046260FB" w14:textId="6EBC5C41" w:rsidR="00717C67" w:rsidRPr="00274B6D" w:rsidRDefault="00717C67" w:rsidP="00717C67">
            <w:pPr>
              <w:pStyle w:val="aa"/>
              <w:tabs>
                <w:tab w:val="left" w:pos="425"/>
              </w:tabs>
              <w:rPr>
                <w:b/>
                <w:bCs/>
                <w:szCs w:val="20"/>
                <w:lang w:eastAsia="zh-CN"/>
              </w:rPr>
            </w:pPr>
            <w:r w:rsidRPr="00274B6D">
              <w:rPr>
                <w:b/>
                <w:bCs/>
                <w:szCs w:val="20"/>
                <w:lang w:eastAsia="zh-CN"/>
              </w:rPr>
              <w:t>In 1</w:t>
            </w:r>
            <w:r w:rsidRPr="00274B6D">
              <w:rPr>
                <w:b/>
                <w:bCs/>
                <w:szCs w:val="20"/>
                <w:vertAlign w:val="superscript"/>
                <w:lang w:eastAsia="zh-CN"/>
              </w:rPr>
              <w:t>st</w:t>
            </w:r>
            <w:r w:rsidRPr="00274B6D">
              <w:rPr>
                <w:b/>
                <w:bCs/>
                <w:szCs w:val="20"/>
                <w:lang w:eastAsia="zh-CN"/>
              </w:rPr>
              <w:t xml:space="preserve"> round of offline discussion:</w:t>
            </w:r>
          </w:p>
          <w:p w14:paraId="0724E4DB" w14:textId="6BF7DFA0" w:rsidR="00717C67" w:rsidRDefault="00717C67" w:rsidP="00717C67">
            <w:pPr>
              <w:pStyle w:val="aa"/>
              <w:tabs>
                <w:tab w:val="left" w:pos="425"/>
              </w:tabs>
              <w:rPr>
                <w:szCs w:val="20"/>
              </w:rPr>
            </w:pPr>
            <w:r w:rsidRPr="00717C67">
              <w:rPr>
                <w:szCs w:val="20"/>
              </w:rPr>
              <w:t>Regarding “ Rel-17 RRM relaxation can apply to any Rel-17 UE.”, same situation as last meeting, 4 companies still object it. The main concern from companies is “</w:t>
            </w:r>
            <w:r w:rsidRPr="00717C67">
              <w:rPr>
                <w:i/>
                <w:iCs/>
                <w:szCs w:val="20"/>
              </w:rPr>
              <w:t>The concern is this may cause more standard effort, e.g. some impact to other WI/feature to support this RRM relaxation. It may bring more CRs in the future meeting. How can RedCap session determine whether a non-RedCap UE to support a new R17 feature?</w:t>
            </w:r>
            <w:r w:rsidRPr="00717C67">
              <w:rPr>
                <w:szCs w:val="20"/>
              </w:rPr>
              <w:t>”</w:t>
            </w:r>
          </w:p>
          <w:p w14:paraId="1F4AF7EF" w14:textId="16BAB54B" w:rsidR="00DC7E84" w:rsidRPr="00717C67" w:rsidRDefault="00DC7E84" w:rsidP="00717C67">
            <w:pPr>
              <w:pStyle w:val="aa"/>
              <w:tabs>
                <w:tab w:val="left" w:pos="425"/>
              </w:tabs>
              <w:rPr>
                <w:b/>
                <w:bCs/>
                <w:szCs w:val="20"/>
                <w:lang w:eastAsia="zh-CN"/>
              </w:rPr>
            </w:pPr>
            <w:r w:rsidRPr="00274B6D">
              <w:rPr>
                <w:b/>
                <w:bCs/>
                <w:szCs w:val="20"/>
                <w:lang w:eastAsia="zh-CN"/>
              </w:rPr>
              <w:t>In 2</w:t>
            </w:r>
            <w:r w:rsidRPr="00274B6D">
              <w:rPr>
                <w:b/>
                <w:bCs/>
                <w:szCs w:val="20"/>
                <w:vertAlign w:val="superscript"/>
                <w:lang w:eastAsia="zh-CN"/>
              </w:rPr>
              <w:t>nd</w:t>
            </w:r>
            <w:r w:rsidRPr="00274B6D">
              <w:rPr>
                <w:b/>
                <w:bCs/>
                <w:szCs w:val="20"/>
                <w:lang w:eastAsia="zh-CN"/>
              </w:rPr>
              <w:t xml:space="preserve"> round of offline discussion:</w:t>
            </w:r>
          </w:p>
          <w:p w14:paraId="1F02F20F" w14:textId="59759579" w:rsidR="00717C67" w:rsidRPr="00717C67" w:rsidRDefault="00717C67" w:rsidP="00717C67">
            <w:pPr>
              <w:pStyle w:val="aa"/>
              <w:tabs>
                <w:tab w:val="left" w:pos="425"/>
              </w:tabs>
              <w:rPr>
                <w:szCs w:val="20"/>
                <w:lang w:eastAsia="zh-CN"/>
              </w:rPr>
            </w:pPr>
            <w:r w:rsidRPr="00717C67">
              <w:rPr>
                <w:szCs w:val="20"/>
                <w:lang w:eastAsia="zh-CN"/>
              </w:rPr>
              <w:t>6 companies does not support the proposal</w:t>
            </w:r>
            <w:r w:rsidR="00BE0C7A">
              <w:rPr>
                <w:szCs w:val="20"/>
                <w:lang w:eastAsia="zh-CN"/>
              </w:rPr>
              <w:t xml:space="preserve"> (</w:t>
            </w:r>
            <w:r w:rsidR="00BE0C7A" w:rsidRPr="00717C67">
              <w:rPr>
                <w:szCs w:val="20"/>
              </w:rPr>
              <w:t>Rel-17 RRM relaxation can apply to any Rel-17 UE</w:t>
            </w:r>
            <w:r w:rsidR="00BE0C7A">
              <w:rPr>
                <w:szCs w:val="20"/>
                <w:lang w:eastAsia="zh-CN"/>
              </w:rPr>
              <w:t>)</w:t>
            </w:r>
            <w:r w:rsidRPr="00717C67">
              <w:rPr>
                <w:szCs w:val="20"/>
                <w:lang w:eastAsia="zh-CN"/>
              </w:rPr>
              <w:t xml:space="preserve">. They think it is out of the scope of the WID and should be discussed in RANP. </w:t>
            </w:r>
          </w:p>
          <w:p w14:paraId="567B7229" w14:textId="019CDCF0" w:rsidR="00717C67" w:rsidRPr="00717C67" w:rsidRDefault="00717C67" w:rsidP="00717C67">
            <w:pPr>
              <w:pStyle w:val="aa"/>
              <w:tabs>
                <w:tab w:val="left" w:pos="425"/>
              </w:tabs>
              <w:rPr>
                <w:szCs w:val="20"/>
                <w:lang w:eastAsia="zh-CN"/>
              </w:rPr>
            </w:pPr>
            <w:r w:rsidRPr="00717C67">
              <w:rPr>
                <w:szCs w:val="20"/>
                <w:lang w:eastAsia="zh-CN"/>
              </w:rPr>
              <w:t>10 companies would like to support it</w:t>
            </w:r>
            <w:r w:rsidR="007C2D58">
              <w:rPr>
                <w:szCs w:val="20"/>
                <w:lang w:eastAsia="zh-CN"/>
              </w:rPr>
              <w:t xml:space="preserve"> (</w:t>
            </w:r>
            <w:r w:rsidR="007C2D58" w:rsidRPr="00717C67">
              <w:rPr>
                <w:szCs w:val="20"/>
              </w:rPr>
              <w:t>Rel-17 RRM relaxation can apply to any Rel-17 UE</w:t>
            </w:r>
            <w:r w:rsidR="007C2D58">
              <w:rPr>
                <w:szCs w:val="20"/>
                <w:lang w:eastAsia="zh-CN"/>
              </w:rPr>
              <w:t>)</w:t>
            </w:r>
            <w:r w:rsidRPr="00717C67">
              <w:rPr>
                <w:szCs w:val="20"/>
                <w:lang w:eastAsia="zh-CN"/>
              </w:rPr>
              <w:t>. But as mentioned by WI Rapporteur, we should focus on the completion of RedCap WI.</w:t>
            </w:r>
          </w:p>
        </w:tc>
      </w:tr>
    </w:tbl>
    <w:p w14:paraId="2095C631" w14:textId="2623FBC1" w:rsidR="00C11DEB" w:rsidRDefault="00E76086" w:rsidP="006904A8">
      <w:pPr>
        <w:pStyle w:val="aa"/>
        <w:tabs>
          <w:tab w:val="left" w:pos="425"/>
        </w:tabs>
        <w:rPr>
          <w:szCs w:val="20"/>
          <w:lang w:val="en-GB" w:eastAsia="zh-CN"/>
        </w:rPr>
      </w:pPr>
      <w:r>
        <w:rPr>
          <w:szCs w:val="20"/>
          <w:lang w:val="en-GB" w:eastAsia="zh-CN"/>
        </w:rPr>
        <w:t>The main concern from opponent is it is out of the scope of the WID</w:t>
      </w:r>
      <w:r w:rsidR="00514A64">
        <w:rPr>
          <w:szCs w:val="20"/>
          <w:lang w:val="en-GB" w:eastAsia="zh-CN"/>
        </w:rPr>
        <w:t xml:space="preserve"> and should be discussed in RANP. </w:t>
      </w:r>
    </w:p>
    <w:p w14:paraId="4D7DDEEC" w14:textId="50F0BDC5" w:rsidR="00514A64" w:rsidRDefault="00514A64" w:rsidP="006904A8">
      <w:pPr>
        <w:pStyle w:val="aa"/>
        <w:tabs>
          <w:tab w:val="left" w:pos="425"/>
        </w:tabs>
        <w:rPr>
          <w:szCs w:val="20"/>
          <w:lang w:val="en-GB" w:eastAsia="zh-CN"/>
        </w:rPr>
      </w:pPr>
      <w:r>
        <w:rPr>
          <w:szCs w:val="20"/>
          <w:lang w:val="en-GB" w:eastAsia="zh-CN"/>
        </w:rPr>
        <w:t>The decision in RAN2 is:</w:t>
      </w:r>
    </w:p>
    <w:tbl>
      <w:tblPr>
        <w:tblStyle w:val="af1"/>
        <w:tblW w:w="0" w:type="auto"/>
        <w:tblLook w:val="04A0" w:firstRow="1" w:lastRow="0" w:firstColumn="1" w:lastColumn="0" w:noHBand="0" w:noVBand="1"/>
      </w:tblPr>
      <w:tblGrid>
        <w:gridCol w:w="9060"/>
      </w:tblGrid>
      <w:tr w:rsidR="007C7465" w14:paraId="6C72EF1C" w14:textId="77777777" w:rsidTr="007C7465">
        <w:tc>
          <w:tcPr>
            <w:tcW w:w="9060" w:type="dxa"/>
          </w:tcPr>
          <w:p w14:paraId="169D9D2D" w14:textId="77777777" w:rsidR="007C7465" w:rsidRDefault="007C7465" w:rsidP="007C7465">
            <w:pPr>
              <w:pStyle w:val="Comments"/>
            </w:pPr>
            <w:r w:rsidRPr="00BB037E">
              <w:t>At117-Proposal 3.2.1-1: [online discussion] [10/16] Rel-17 RRM relaxation can apply to any Rel-17 UE;</w:t>
            </w:r>
          </w:p>
          <w:p w14:paraId="401B254E" w14:textId="1D7D0712" w:rsidR="007C7465" w:rsidRPr="0045212A" w:rsidRDefault="007C7465" w:rsidP="0045212A">
            <w:pPr>
              <w:pStyle w:val="Doc-text2"/>
              <w:numPr>
                <w:ilvl w:val="0"/>
                <w:numId w:val="29"/>
              </w:numPr>
              <w:spacing w:after="0"/>
            </w:pPr>
            <w:r>
              <w:t>VC thinks this can be raised in the plenary to extend the behaviour to any Rel-17 UEs</w:t>
            </w:r>
          </w:p>
        </w:tc>
      </w:tr>
    </w:tbl>
    <w:p w14:paraId="2DEEDFC2" w14:textId="7D850D34" w:rsidR="0045212A" w:rsidRDefault="0045212A" w:rsidP="0045212A">
      <w:pPr>
        <w:pStyle w:val="aa"/>
        <w:tabs>
          <w:tab w:val="left" w:pos="425"/>
        </w:tabs>
        <w:rPr>
          <w:b/>
          <w:bCs/>
          <w:szCs w:val="20"/>
          <w:lang w:val="en-GB" w:eastAsia="zh-CN"/>
        </w:rPr>
      </w:pPr>
      <w:r w:rsidRPr="00DD03BC">
        <w:rPr>
          <w:b/>
          <w:bCs/>
          <w:szCs w:val="20"/>
          <w:lang w:val="en-GB" w:eastAsia="zh-CN"/>
        </w:rPr>
        <w:t xml:space="preserve">Observation 1: There are different views in RAN2 </w:t>
      </w:r>
      <w:r w:rsidR="00A21A98">
        <w:rPr>
          <w:b/>
          <w:bCs/>
          <w:szCs w:val="20"/>
          <w:lang w:val="en-GB" w:eastAsia="zh-CN"/>
        </w:rPr>
        <w:t xml:space="preserve">on </w:t>
      </w:r>
      <w:r w:rsidRPr="00DD03BC">
        <w:rPr>
          <w:b/>
          <w:bCs/>
          <w:szCs w:val="20"/>
          <w:lang w:val="en-GB" w:eastAsia="zh-CN"/>
        </w:rPr>
        <w:t>whether RRM relaxation could be applied for non-RedCap UEs.</w:t>
      </w:r>
    </w:p>
    <w:p w14:paraId="573485EA" w14:textId="7EB6CF45" w:rsidR="0045212A" w:rsidRDefault="0045212A" w:rsidP="0045212A">
      <w:pPr>
        <w:pStyle w:val="aa"/>
        <w:tabs>
          <w:tab w:val="left" w:pos="425"/>
        </w:tabs>
        <w:rPr>
          <w:szCs w:val="20"/>
          <w:lang w:eastAsia="zh-CN"/>
        </w:rPr>
      </w:pPr>
      <w:r>
        <w:rPr>
          <w:szCs w:val="20"/>
          <w:lang w:eastAsia="zh-CN"/>
        </w:rPr>
        <w:t xml:space="preserve">In the context of RAN4 discussion on eDRX and RRM relaxation, it is common understanding </w:t>
      </w:r>
      <w:r w:rsidR="007822B9">
        <w:rPr>
          <w:szCs w:val="20"/>
          <w:lang w:eastAsia="zh-CN"/>
        </w:rPr>
        <w:t>in RAN4 that eDRX and RRM relaxation are applied for RedCap UEs</w:t>
      </w:r>
      <w:r w:rsidR="00FF7429" w:rsidRPr="00FF7429">
        <w:rPr>
          <w:szCs w:val="20"/>
          <w:lang w:eastAsia="zh-CN"/>
        </w:rPr>
        <w:t xml:space="preserve"> </w:t>
      </w:r>
      <w:r w:rsidR="00FF7429">
        <w:rPr>
          <w:szCs w:val="20"/>
          <w:lang w:eastAsia="zh-CN"/>
        </w:rPr>
        <w:t>only</w:t>
      </w:r>
      <w:r w:rsidR="000D48ED">
        <w:rPr>
          <w:szCs w:val="20"/>
          <w:lang w:eastAsia="zh-CN"/>
        </w:rPr>
        <w:t xml:space="preserve">, i.e. not </w:t>
      </w:r>
      <w:r w:rsidR="007C2374">
        <w:rPr>
          <w:szCs w:val="20"/>
          <w:lang w:eastAsia="zh-CN"/>
        </w:rPr>
        <w:t xml:space="preserve">applied </w:t>
      </w:r>
      <w:r w:rsidR="000D48ED">
        <w:rPr>
          <w:szCs w:val="20"/>
          <w:lang w:eastAsia="zh-CN"/>
        </w:rPr>
        <w:t>for non-RedCap UEs.</w:t>
      </w:r>
      <w:r w:rsidR="00AB45CB">
        <w:rPr>
          <w:szCs w:val="20"/>
          <w:lang w:eastAsia="zh-CN"/>
        </w:rPr>
        <w:t xml:space="preserve"> There is no discussion </w:t>
      </w:r>
      <w:r w:rsidR="00A21A98">
        <w:rPr>
          <w:szCs w:val="20"/>
          <w:lang w:eastAsia="zh-CN"/>
        </w:rPr>
        <w:t xml:space="preserve">on </w:t>
      </w:r>
      <w:r w:rsidR="00AB45CB">
        <w:rPr>
          <w:szCs w:val="20"/>
          <w:lang w:eastAsia="zh-CN"/>
        </w:rPr>
        <w:t xml:space="preserve">whether eDRX and RRM relaxation could be applied for non-RedCap UEs. </w:t>
      </w:r>
    </w:p>
    <w:p w14:paraId="64167ED3" w14:textId="60B352CA" w:rsidR="008A6E1B" w:rsidRDefault="008A6E1B" w:rsidP="008A6E1B">
      <w:pPr>
        <w:pStyle w:val="aa"/>
        <w:tabs>
          <w:tab w:val="left" w:pos="425"/>
        </w:tabs>
        <w:rPr>
          <w:b/>
          <w:bCs/>
          <w:szCs w:val="20"/>
          <w:lang w:val="en-GB" w:eastAsia="zh-CN"/>
        </w:rPr>
      </w:pPr>
      <w:r w:rsidRPr="00DD03BC">
        <w:rPr>
          <w:b/>
          <w:bCs/>
          <w:szCs w:val="20"/>
          <w:lang w:val="en-GB" w:eastAsia="zh-CN"/>
        </w:rPr>
        <w:t xml:space="preserve">Observation </w:t>
      </w:r>
      <w:r>
        <w:rPr>
          <w:b/>
          <w:bCs/>
          <w:szCs w:val="20"/>
          <w:lang w:val="en-GB" w:eastAsia="zh-CN"/>
        </w:rPr>
        <w:t>2</w:t>
      </w:r>
      <w:r w:rsidRPr="00DD03BC">
        <w:rPr>
          <w:b/>
          <w:bCs/>
          <w:szCs w:val="20"/>
          <w:lang w:val="en-GB" w:eastAsia="zh-CN"/>
        </w:rPr>
        <w:t xml:space="preserve">: </w:t>
      </w:r>
      <w:r w:rsidR="008F6BD4">
        <w:rPr>
          <w:b/>
          <w:bCs/>
          <w:szCs w:val="20"/>
          <w:lang w:val="en-GB" w:eastAsia="zh-CN"/>
        </w:rPr>
        <w:t xml:space="preserve">RAN4 understands </w:t>
      </w:r>
      <w:r w:rsidR="008F6BD4">
        <w:rPr>
          <w:rFonts w:hint="eastAsia"/>
          <w:b/>
          <w:bCs/>
          <w:szCs w:val="20"/>
          <w:lang w:val="en-GB" w:eastAsia="zh-CN"/>
        </w:rPr>
        <w:t>eDRX</w:t>
      </w:r>
      <w:r w:rsidR="008F6BD4">
        <w:rPr>
          <w:b/>
          <w:bCs/>
          <w:szCs w:val="20"/>
          <w:lang w:val="en-GB" w:eastAsia="zh-CN"/>
        </w:rPr>
        <w:t xml:space="preserve"> and RRM relaxation are applied for RedCap UEs only. </w:t>
      </w:r>
      <w:r w:rsidR="006E5A28">
        <w:rPr>
          <w:b/>
          <w:bCs/>
          <w:szCs w:val="20"/>
          <w:lang w:val="en-GB" w:eastAsia="zh-CN"/>
        </w:rPr>
        <w:t xml:space="preserve">There is no discussion in RAN4 on whether </w:t>
      </w:r>
      <w:r w:rsidR="008F6BD4">
        <w:rPr>
          <w:b/>
          <w:bCs/>
          <w:szCs w:val="20"/>
          <w:lang w:val="en-GB" w:eastAsia="zh-CN"/>
        </w:rPr>
        <w:t>these two features could be applied for non-RedCap UEs.</w:t>
      </w:r>
    </w:p>
    <w:p w14:paraId="5A74E8B6" w14:textId="65E67FF2" w:rsidR="00D80EDA" w:rsidRDefault="00D80EDA" w:rsidP="006904A8">
      <w:pPr>
        <w:pStyle w:val="aa"/>
        <w:tabs>
          <w:tab w:val="left" w:pos="425"/>
        </w:tabs>
        <w:rPr>
          <w:szCs w:val="20"/>
          <w:lang w:val="en-GB" w:eastAsia="zh-CN"/>
        </w:rPr>
      </w:pPr>
      <w:r>
        <w:rPr>
          <w:rFonts w:hint="eastAsia"/>
          <w:szCs w:val="20"/>
          <w:lang w:val="en-GB" w:eastAsia="zh-CN"/>
        </w:rPr>
        <w:t>In</w:t>
      </w:r>
      <w:r>
        <w:rPr>
          <w:szCs w:val="20"/>
          <w:lang w:val="en-GB" w:eastAsia="zh-CN"/>
        </w:rPr>
        <w:t xml:space="preserve"> our understanding</w:t>
      </w:r>
      <w:r>
        <w:rPr>
          <w:rFonts w:hint="eastAsia"/>
          <w:szCs w:val="20"/>
          <w:lang w:val="en-GB" w:eastAsia="zh-CN"/>
        </w:rPr>
        <w:t>,</w:t>
      </w:r>
      <w:r>
        <w:rPr>
          <w:szCs w:val="20"/>
          <w:lang w:val="en-GB" w:eastAsia="zh-CN"/>
        </w:rPr>
        <w:t xml:space="preserve"> RRM relaxation has the same situation as eDRX</w:t>
      </w:r>
      <w:r w:rsidR="003A6E24">
        <w:rPr>
          <w:szCs w:val="20"/>
          <w:lang w:val="en-GB" w:eastAsia="zh-CN"/>
        </w:rPr>
        <w:t xml:space="preserve"> from UE perspective</w:t>
      </w:r>
      <w:r>
        <w:rPr>
          <w:szCs w:val="20"/>
          <w:lang w:val="en-GB" w:eastAsia="zh-CN"/>
        </w:rPr>
        <w:t>:</w:t>
      </w:r>
    </w:p>
    <w:p w14:paraId="2B59CEF3" w14:textId="5D2967D2" w:rsidR="00D80EDA" w:rsidRDefault="00D80EDA" w:rsidP="00D80EDA">
      <w:pPr>
        <w:pStyle w:val="aa"/>
        <w:numPr>
          <w:ilvl w:val="0"/>
          <w:numId w:val="31"/>
        </w:numPr>
        <w:tabs>
          <w:tab w:val="left" w:pos="425"/>
        </w:tabs>
        <w:rPr>
          <w:szCs w:val="20"/>
          <w:lang w:val="en-GB" w:eastAsia="zh-CN"/>
        </w:rPr>
      </w:pPr>
      <w:r>
        <w:rPr>
          <w:szCs w:val="20"/>
          <w:lang w:val="en-GB" w:eastAsia="zh-CN"/>
        </w:rPr>
        <w:t xml:space="preserve">It is beneficial for UE’s power consumption. </w:t>
      </w:r>
    </w:p>
    <w:p w14:paraId="1880CDD7" w14:textId="13618438" w:rsidR="00D80EDA" w:rsidRDefault="00D80EDA" w:rsidP="00D80EDA">
      <w:pPr>
        <w:pStyle w:val="aa"/>
        <w:numPr>
          <w:ilvl w:val="0"/>
          <w:numId w:val="31"/>
        </w:numPr>
        <w:tabs>
          <w:tab w:val="left" w:pos="425"/>
        </w:tabs>
        <w:rPr>
          <w:szCs w:val="20"/>
          <w:lang w:val="en-GB" w:eastAsia="zh-CN"/>
        </w:rPr>
      </w:pPr>
      <w:r>
        <w:rPr>
          <w:rFonts w:hint="eastAsia"/>
          <w:szCs w:val="20"/>
          <w:lang w:val="en-GB" w:eastAsia="zh-CN"/>
        </w:rPr>
        <w:t>T</w:t>
      </w:r>
      <w:r>
        <w:rPr>
          <w:szCs w:val="20"/>
          <w:lang w:val="en-GB" w:eastAsia="zh-CN"/>
        </w:rPr>
        <w:t xml:space="preserve">here is no </w:t>
      </w:r>
      <w:r w:rsidR="00011FB8">
        <w:rPr>
          <w:szCs w:val="20"/>
          <w:lang w:val="en-GB" w:eastAsia="zh-CN"/>
        </w:rPr>
        <w:t xml:space="preserve">functional </w:t>
      </w:r>
      <w:r>
        <w:rPr>
          <w:szCs w:val="20"/>
          <w:lang w:val="en-GB" w:eastAsia="zh-CN"/>
        </w:rPr>
        <w:t>difference between RedCap UEs and non-RedCap UEs.</w:t>
      </w:r>
    </w:p>
    <w:p w14:paraId="636F82DF" w14:textId="56C758CE" w:rsidR="007B6B07" w:rsidRDefault="007B6B07" w:rsidP="007B6B07">
      <w:pPr>
        <w:pStyle w:val="aa"/>
        <w:tabs>
          <w:tab w:val="left" w:pos="425"/>
        </w:tabs>
        <w:rPr>
          <w:szCs w:val="20"/>
          <w:lang w:val="en-GB" w:eastAsia="zh-CN"/>
        </w:rPr>
      </w:pPr>
      <w:r>
        <w:rPr>
          <w:rFonts w:hint="eastAsia"/>
          <w:szCs w:val="20"/>
          <w:lang w:val="en-GB" w:eastAsia="zh-CN"/>
        </w:rPr>
        <w:t>B</w:t>
      </w:r>
      <w:r>
        <w:rPr>
          <w:szCs w:val="20"/>
          <w:lang w:val="en-GB" w:eastAsia="zh-CN"/>
        </w:rPr>
        <w:t xml:space="preserve">esides, during the evaluation in study phase of Rel-17 RedCap, the power saving gain </w:t>
      </w:r>
      <w:r w:rsidR="00011FB8">
        <w:rPr>
          <w:szCs w:val="20"/>
          <w:lang w:val="en-GB" w:eastAsia="zh-CN"/>
        </w:rPr>
        <w:t xml:space="preserve">was evaluated based on UEs, which are also including both RedCap and non-RedCap UEs. </w:t>
      </w:r>
    </w:p>
    <w:p w14:paraId="021CB032" w14:textId="0279C4C8" w:rsidR="00C668FF" w:rsidRDefault="003A6E24" w:rsidP="007B6B07">
      <w:pPr>
        <w:pStyle w:val="aa"/>
        <w:tabs>
          <w:tab w:val="left" w:pos="425"/>
        </w:tabs>
        <w:rPr>
          <w:szCs w:val="20"/>
          <w:lang w:val="en-GB" w:eastAsia="zh-CN"/>
        </w:rPr>
      </w:pPr>
      <w:r>
        <w:rPr>
          <w:rFonts w:hint="eastAsia"/>
          <w:szCs w:val="20"/>
          <w:lang w:val="en-GB" w:eastAsia="zh-CN"/>
        </w:rPr>
        <w:t>Fr</w:t>
      </w:r>
      <w:r>
        <w:rPr>
          <w:szCs w:val="20"/>
          <w:lang w:val="en-GB" w:eastAsia="zh-CN"/>
        </w:rPr>
        <w:t xml:space="preserve">om network perspective, there is no </w:t>
      </w:r>
      <w:r w:rsidR="007E0F71">
        <w:rPr>
          <w:szCs w:val="20"/>
          <w:lang w:val="en-GB" w:eastAsia="zh-CN"/>
        </w:rPr>
        <w:t xml:space="preserve">additional </w:t>
      </w:r>
      <w:r>
        <w:rPr>
          <w:szCs w:val="20"/>
          <w:lang w:val="en-GB" w:eastAsia="zh-CN"/>
        </w:rPr>
        <w:t xml:space="preserve">effort or difference to support RRM relaxation for non-RedCap. </w:t>
      </w:r>
    </w:p>
    <w:p w14:paraId="3AF0183B" w14:textId="1C10CC50" w:rsidR="00C668FF" w:rsidRDefault="00C668FF" w:rsidP="00C668FF">
      <w:pPr>
        <w:pStyle w:val="aa"/>
        <w:tabs>
          <w:tab w:val="left" w:pos="425"/>
        </w:tabs>
        <w:rPr>
          <w:szCs w:val="20"/>
          <w:lang w:val="en-GB" w:eastAsia="zh-CN"/>
        </w:rPr>
      </w:pPr>
      <w:r>
        <w:rPr>
          <w:rFonts w:hint="eastAsia"/>
          <w:szCs w:val="20"/>
          <w:lang w:val="en-GB" w:eastAsia="zh-CN"/>
        </w:rPr>
        <w:t>A</w:t>
      </w:r>
      <w:r>
        <w:rPr>
          <w:szCs w:val="20"/>
          <w:lang w:val="en-GB" w:eastAsia="zh-CN"/>
        </w:rPr>
        <w:t xml:space="preserve">s we know, </w:t>
      </w:r>
      <w:r>
        <w:rPr>
          <w:rFonts w:hint="eastAsia"/>
          <w:szCs w:val="20"/>
          <w:lang w:val="en-GB" w:eastAsia="zh-CN"/>
        </w:rPr>
        <w:t>R</w:t>
      </w:r>
      <w:r>
        <w:rPr>
          <w:szCs w:val="20"/>
          <w:lang w:val="en-GB" w:eastAsia="zh-CN"/>
        </w:rPr>
        <w:t xml:space="preserve">RM relaxation feature in idle/inactive mode was first introduced for </w:t>
      </w:r>
      <w:r w:rsidR="00660DED">
        <w:rPr>
          <w:szCs w:val="20"/>
          <w:lang w:val="en-GB" w:eastAsia="zh-CN"/>
        </w:rPr>
        <w:t>all</w:t>
      </w:r>
      <w:r>
        <w:rPr>
          <w:szCs w:val="20"/>
          <w:lang w:val="en-GB" w:eastAsia="zh-CN"/>
        </w:rPr>
        <w:t xml:space="preserve"> UEs in Rel-16 PowSav WI. Now, further enhancements for idle/inactive mode in Rel-17 here, are naturally reasonable to be applied to all UEs</w:t>
      </w:r>
      <w:r w:rsidR="00247E38">
        <w:rPr>
          <w:szCs w:val="20"/>
          <w:lang w:val="en-GB" w:eastAsia="zh-CN"/>
        </w:rPr>
        <w:t>, including RedCap and non-RedCap UEs.</w:t>
      </w:r>
    </w:p>
    <w:p w14:paraId="2B279A87" w14:textId="37298335" w:rsidR="001F2F3B" w:rsidRPr="001F2F3B" w:rsidRDefault="00CF50A5" w:rsidP="006904A8">
      <w:pPr>
        <w:pStyle w:val="aa"/>
        <w:tabs>
          <w:tab w:val="left" w:pos="425"/>
        </w:tabs>
        <w:rPr>
          <w:szCs w:val="20"/>
          <w:lang w:val="en-GB" w:eastAsia="zh-CN"/>
        </w:rPr>
      </w:pPr>
      <w:r>
        <w:rPr>
          <w:szCs w:val="20"/>
          <w:lang w:val="en-GB" w:eastAsia="zh-CN"/>
        </w:rPr>
        <w:t>For RRM relaxation in connected mode, it is controlled and configured by the network</w:t>
      </w:r>
      <w:r w:rsidR="006659BD">
        <w:rPr>
          <w:szCs w:val="20"/>
          <w:lang w:val="en-GB" w:eastAsia="zh-CN"/>
        </w:rPr>
        <w:t xml:space="preserve"> via dedicated signaling. Thus, network could decide whether to confirm RRM relaxation for any UE. </w:t>
      </w:r>
      <w:r w:rsidR="00BC60E4">
        <w:rPr>
          <w:szCs w:val="20"/>
          <w:lang w:val="en-GB" w:eastAsia="zh-CN"/>
        </w:rPr>
        <w:t>Therefore</w:t>
      </w:r>
      <w:r w:rsidR="006659BD">
        <w:rPr>
          <w:szCs w:val="20"/>
          <w:lang w:val="en-GB" w:eastAsia="zh-CN"/>
        </w:rPr>
        <w:t>, w</w:t>
      </w:r>
      <w:r w:rsidR="001F2F3B">
        <w:rPr>
          <w:szCs w:val="20"/>
          <w:lang w:eastAsia="zh-CN"/>
        </w:rPr>
        <w:t xml:space="preserve">e don’t see any motivation to excluded non-RedCap </w:t>
      </w:r>
      <w:r w:rsidR="00BC60E4">
        <w:rPr>
          <w:szCs w:val="20"/>
          <w:lang w:eastAsia="zh-CN"/>
        </w:rPr>
        <w:t xml:space="preserve">UEs </w:t>
      </w:r>
      <w:r w:rsidR="001F2F3B">
        <w:rPr>
          <w:szCs w:val="20"/>
          <w:lang w:eastAsia="zh-CN"/>
        </w:rPr>
        <w:t>to use RRM relaxation</w:t>
      </w:r>
      <w:r w:rsidR="00933D8D">
        <w:rPr>
          <w:szCs w:val="20"/>
          <w:lang w:eastAsia="zh-CN"/>
        </w:rPr>
        <w:t xml:space="preserve"> features </w:t>
      </w:r>
      <w:r w:rsidR="00BC60E4">
        <w:rPr>
          <w:szCs w:val="20"/>
          <w:lang w:eastAsia="zh-CN"/>
        </w:rPr>
        <w:t xml:space="preserve">defined </w:t>
      </w:r>
      <w:r w:rsidR="00933D8D">
        <w:rPr>
          <w:szCs w:val="20"/>
          <w:lang w:eastAsia="zh-CN"/>
        </w:rPr>
        <w:t>in Rel-1</w:t>
      </w:r>
      <w:r w:rsidR="00F70E11">
        <w:rPr>
          <w:szCs w:val="20"/>
          <w:lang w:eastAsia="zh-CN"/>
        </w:rPr>
        <w:t>7 RedCap WI</w:t>
      </w:r>
      <w:r w:rsidR="001D6045">
        <w:rPr>
          <w:szCs w:val="20"/>
          <w:lang w:eastAsia="zh-CN"/>
        </w:rPr>
        <w:t xml:space="preserve">, </w:t>
      </w:r>
      <w:r w:rsidR="00842B62">
        <w:rPr>
          <w:szCs w:val="20"/>
          <w:lang w:eastAsia="zh-CN"/>
        </w:rPr>
        <w:t>s</w:t>
      </w:r>
      <w:r w:rsidR="001F2F3B">
        <w:rPr>
          <w:szCs w:val="20"/>
          <w:lang w:eastAsia="zh-CN"/>
        </w:rPr>
        <w:t xml:space="preserve">imilar as </w:t>
      </w:r>
      <w:r w:rsidR="00842B62">
        <w:rPr>
          <w:szCs w:val="20"/>
          <w:lang w:eastAsia="zh-CN"/>
        </w:rPr>
        <w:t>eDRX</w:t>
      </w:r>
      <w:r w:rsidR="001F2F3B">
        <w:rPr>
          <w:szCs w:val="20"/>
          <w:lang w:eastAsia="zh-CN"/>
        </w:rPr>
        <w:t>.</w:t>
      </w:r>
    </w:p>
    <w:p w14:paraId="26968C27" w14:textId="4BF28334" w:rsidR="0011516C" w:rsidRPr="00280369" w:rsidRDefault="00280369" w:rsidP="006904A8">
      <w:pPr>
        <w:pStyle w:val="aa"/>
        <w:tabs>
          <w:tab w:val="left" w:pos="425"/>
        </w:tabs>
        <w:rPr>
          <w:b/>
          <w:bCs/>
          <w:szCs w:val="20"/>
          <w:lang w:eastAsia="zh-CN"/>
        </w:rPr>
      </w:pPr>
      <w:r>
        <w:rPr>
          <w:b/>
          <w:bCs/>
          <w:szCs w:val="20"/>
          <w:lang w:eastAsia="zh-CN"/>
        </w:rPr>
        <w:t>Proposal 1:</w:t>
      </w:r>
      <w:r w:rsidR="002E3E1D">
        <w:rPr>
          <w:b/>
          <w:bCs/>
          <w:szCs w:val="20"/>
          <w:lang w:eastAsia="zh-CN"/>
        </w:rPr>
        <w:t xml:space="preserve"> RAN provides guidance that </w:t>
      </w:r>
      <w:r w:rsidR="002E3E1D">
        <w:rPr>
          <w:rFonts w:hint="eastAsia"/>
          <w:b/>
          <w:bCs/>
          <w:szCs w:val="20"/>
          <w:lang w:eastAsia="zh-CN"/>
        </w:rPr>
        <w:t>eD</w:t>
      </w:r>
      <w:r w:rsidR="002E3E1D">
        <w:rPr>
          <w:b/>
          <w:bCs/>
          <w:szCs w:val="20"/>
          <w:lang w:eastAsia="zh-CN"/>
        </w:rPr>
        <w:t>RX and RRM relaxation in Rel-17 RedCap WI could be applied for all UEs, including RedCap and non-RedCap UEs.</w:t>
      </w:r>
    </w:p>
    <w:p w14:paraId="4AAC3A14" w14:textId="65AC2A51" w:rsidR="00F4631B" w:rsidRPr="00AE7A4A" w:rsidRDefault="00F4631B" w:rsidP="007640ED">
      <w:pPr>
        <w:pStyle w:val="20"/>
        <w:keepLines/>
        <w:numPr>
          <w:ilvl w:val="1"/>
          <w:numId w:val="5"/>
        </w:numPr>
        <w:overflowPunct w:val="0"/>
        <w:autoSpaceDE w:val="0"/>
        <w:autoSpaceDN w:val="0"/>
        <w:adjustRightInd w:val="0"/>
        <w:spacing w:before="180" w:after="180"/>
        <w:jc w:val="both"/>
        <w:textAlignment w:val="baseline"/>
        <w:rPr>
          <w:rFonts w:eastAsia="宋体"/>
          <w:b w:val="0"/>
          <w:sz w:val="30"/>
          <w:szCs w:val="30"/>
          <w:lang w:val="en-GB"/>
        </w:rPr>
      </w:pPr>
      <w:r>
        <w:rPr>
          <w:rFonts w:eastAsia="宋体"/>
          <w:b w:val="0"/>
          <w:sz w:val="30"/>
          <w:szCs w:val="30"/>
          <w:lang w:val="en-GB"/>
        </w:rPr>
        <w:lastRenderedPageBreak/>
        <w:t xml:space="preserve">NCD-SSB </w:t>
      </w:r>
    </w:p>
    <w:p w14:paraId="675D0F44" w14:textId="0ED9B2EF" w:rsidR="00533D24" w:rsidRDefault="0084314D" w:rsidP="00533D24">
      <w:pPr>
        <w:pStyle w:val="aa"/>
        <w:tabs>
          <w:tab w:val="left" w:pos="425"/>
        </w:tabs>
        <w:rPr>
          <w:szCs w:val="20"/>
          <w:lang w:val="en-GB" w:eastAsia="zh-CN"/>
        </w:rPr>
      </w:pPr>
      <w:r w:rsidRPr="00FD06CC">
        <w:rPr>
          <w:szCs w:val="20"/>
          <w:lang w:eastAsia="zh-CN"/>
        </w:rPr>
        <w:t xml:space="preserve">In RAN1#107bis-e meeting, NCD-SSB was </w:t>
      </w:r>
      <w:r>
        <w:rPr>
          <w:szCs w:val="20"/>
          <w:lang w:eastAsia="zh-CN"/>
        </w:rPr>
        <w:t xml:space="preserve">agreed </w:t>
      </w:r>
      <w:r w:rsidRPr="00FD06CC">
        <w:rPr>
          <w:szCs w:val="20"/>
          <w:lang w:eastAsia="zh-CN"/>
        </w:rPr>
        <w:t xml:space="preserve">to be supported </w:t>
      </w:r>
      <w:r>
        <w:rPr>
          <w:szCs w:val="20"/>
          <w:lang w:eastAsia="zh-CN"/>
        </w:rPr>
        <w:t>for RedCap UEs</w:t>
      </w:r>
      <w:r w:rsidR="00BD390E">
        <w:rPr>
          <w:szCs w:val="20"/>
          <w:lang w:eastAsia="zh-CN"/>
        </w:rPr>
        <w:t xml:space="preserve">. </w:t>
      </w:r>
      <w:r w:rsidR="00A8207A">
        <w:rPr>
          <w:szCs w:val="20"/>
          <w:lang w:eastAsia="zh-CN"/>
        </w:rPr>
        <w:t>During the feature discussion on RedCap, RAN1 and RAN2 had some discussion on whether NCD-SSB could be applied for non-RedCap UEs.</w:t>
      </w:r>
      <w:r w:rsidR="00533D24">
        <w:rPr>
          <w:szCs w:val="20"/>
          <w:lang w:eastAsia="zh-CN"/>
        </w:rPr>
        <w:t xml:space="preserve"> </w:t>
      </w:r>
      <w:r w:rsidR="00533D24">
        <w:rPr>
          <w:szCs w:val="20"/>
          <w:lang w:val="en-GB" w:eastAsia="zh-CN"/>
        </w:rPr>
        <w:t>During the discussion [3] in RAN2#117-e meeting, companies have different views as below:</w:t>
      </w:r>
    </w:p>
    <w:tbl>
      <w:tblPr>
        <w:tblStyle w:val="af1"/>
        <w:tblW w:w="0" w:type="auto"/>
        <w:tblLook w:val="04A0" w:firstRow="1" w:lastRow="0" w:firstColumn="1" w:lastColumn="0" w:noHBand="0" w:noVBand="1"/>
      </w:tblPr>
      <w:tblGrid>
        <w:gridCol w:w="9060"/>
      </w:tblGrid>
      <w:tr w:rsidR="005E3D93" w14:paraId="72B56BDE" w14:textId="77777777" w:rsidTr="005E3D93">
        <w:tc>
          <w:tcPr>
            <w:tcW w:w="9060" w:type="dxa"/>
          </w:tcPr>
          <w:p w14:paraId="6E0ADE27" w14:textId="77777777" w:rsidR="005E3D93" w:rsidRPr="005E3D93" w:rsidRDefault="005E3D93" w:rsidP="005E3D93">
            <w:pPr>
              <w:pStyle w:val="aa"/>
              <w:tabs>
                <w:tab w:val="left" w:pos="425"/>
              </w:tabs>
              <w:rPr>
                <w:bCs/>
                <w:szCs w:val="20"/>
                <w:lang w:val="en-GB"/>
              </w:rPr>
            </w:pPr>
            <w:r w:rsidRPr="005E3D93">
              <w:rPr>
                <w:b/>
                <w:szCs w:val="20"/>
                <w:lang w:val="en-GB"/>
              </w:rPr>
              <w:t>Q 2.4.10</w:t>
            </w:r>
            <w:r w:rsidRPr="005E3D93">
              <w:rPr>
                <w:bCs/>
                <w:szCs w:val="20"/>
                <w:lang w:val="en-GB"/>
              </w:rPr>
              <w:t xml:space="preserve"> Do you think a non-RedCap UE should be able to use NCD-SSB instead of CD-SSB with an optional capability? Please elaborate your reply.</w:t>
            </w:r>
          </w:p>
          <w:p w14:paraId="5E515EF9" w14:textId="45840386" w:rsidR="005E3D93" w:rsidRPr="005E3D93" w:rsidRDefault="005E3D93" w:rsidP="0084314D">
            <w:pPr>
              <w:pStyle w:val="aa"/>
              <w:tabs>
                <w:tab w:val="left" w:pos="425"/>
              </w:tabs>
              <w:rPr>
                <w:i/>
                <w:iCs/>
                <w:szCs w:val="20"/>
                <w:lang w:eastAsia="zh-CN"/>
              </w:rPr>
            </w:pPr>
            <w:r w:rsidRPr="005E3D93">
              <w:rPr>
                <w:i/>
                <w:iCs/>
                <w:szCs w:val="20"/>
                <w:lang w:eastAsia="zh-CN"/>
              </w:rPr>
              <w:t>In total 21 companies responded to this question; 7 companies replied “No” and 7 companies indicated either no strong view or it can be deprioritized. 2 companies stated that it is already possible for a non-RedCap UE to use NCD-SSB instead of CD-SSB whereas 5 companies replied “Yes”</w:t>
            </w:r>
          </w:p>
        </w:tc>
      </w:tr>
    </w:tbl>
    <w:p w14:paraId="217E9564" w14:textId="0822D671" w:rsidR="00A8207A" w:rsidRDefault="003C6A9D" w:rsidP="0084314D">
      <w:pPr>
        <w:pStyle w:val="aa"/>
        <w:tabs>
          <w:tab w:val="left" w:pos="425"/>
        </w:tabs>
        <w:rPr>
          <w:szCs w:val="20"/>
          <w:lang w:eastAsia="zh-CN"/>
        </w:rPr>
      </w:pPr>
      <w:r>
        <w:rPr>
          <w:rFonts w:hint="eastAsia"/>
          <w:szCs w:val="20"/>
          <w:lang w:eastAsia="zh-CN"/>
        </w:rPr>
        <w:t>T</w:t>
      </w:r>
      <w:r>
        <w:rPr>
          <w:szCs w:val="20"/>
          <w:lang w:eastAsia="zh-CN"/>
        </w:rPr>
        <w:t>he RAN2 conclusion is:</w:t>
      </w:r>
    </w:p>
    <w:tbl>
      <w:tblPr>
        <w:tblStyle w:val="af1"/>
        <w:tblW w:w="0" w:type="auto"/>
        <w:tblLook w:val="04A0" w:firstRow="1" w:lastRow="0" w:firstColumn="1" w:lastColumn="0" w:noHBand="0" w:noVBand="1"/>
      </w:tblPr>
      <w:tblGrid>
        <w:gridCol w:w="9060"/>
      </w:tblGrid>
      <w:tr w:rsidR="003C6A9D" w14:paraId="42502E92" w14:textId="77777777" w:rsidTr="003C6A9D">
        <w:tc>
          <w:tcPr>
            <w:tcW w:w="9060" w:type="dxa"/>
          </w:tcPr>
          <w:p w14:paraId="59AFA4C0" w14:textId="633A4584" w:rsidR="003C6A9D" w:rsidRPr="003C6A9D" w:rsidRDefault="003C6A9D" w:rsidP="0084314D">
            <w:pPr>
              <w:pStyle w:val="aa"/>
              <w:tabs>
                <w:tab w:val="left" w:pos="425"/>
              </w:tabs>
              <w:rPr>
                <w:i/>
                <w:iCs/>
                <w:szCs w:val="20"/>
                <w:lang w:eastAsia="zh-CN"/>
              </w:rPr>
            </w:pPr>
            <w:r w:rsidRPr="003C6A9D">
              <w:rPr>
                <w:i/>
                <w:iCs/>
                <w:szCs w:val="20"/>
                <w:lang w:eastAsia="zh-CN"/>
              </w:rPr>
              <w:t>14.</w:t>
            </w:r>
            <w:r w:rsidRPr="003C6A9D">
              <w:rPr>
                <w:i/>
                <w:iCs/>
                <w:szCs w:val="20"/>
                <w:lang w:eastAsia="zh-CN"/>
              </w:rPr>
              <w:tab/>
              <w:t>The discussion on whether a non-RedCap UE should be able to use NCD-SSB instead of CD-SSB is deprioritized in Rel-17.</w:t>
            </w:r>
          </w:p>
        </w:tc>
      </w:tr>
    </w:tbl>
    <w:p w14:paraId="699610BF" w14:textId="77777777" w:rsidR="00FF5564" w:rsidRDefault="00FF5564" w:rsidP="00FF5564">
      <w:pPr>
        <w:pStyle w:val="aa"/>
        <w:tabs>
          <w:tab w:val="left" w:pos="425"/>
        </w:tabs>
        <w:rPr>
          <w:szCs w:val="20"/>
          <w:lang w:eastAsia="zh-CN"/>
        </w:rPr>
      </w:pPr>
    </w:p>
    <w:p w14:paraId="07B65E16" w14:textId="0F9FBBE6" w:rsidR="00FF5564" w:rsidRDefault="00FF5564" w:rsidP="00FF5564">
      <w:pPr>
        <w:pStyle w:val="aa"/>
        <w:tabs>
          <w:tab w:val="left" w:pos="425"/>
        </w:tabs>
        <w:rPr>
          <w:szCs w:val="20"/>
          <w:lang w:eastAsia="zh-CN"/>
        </w:rPr>
      </w:pPr>
      <w:r>
        <w:rPr>
          <w:szCs w:val="20"/>
          <w:lang w:eastAsia="zh-CN"/>
        </w:rPr>
        <w:t>From UE perspective</w:t>
      </w:r>
      <w:r w:rsidRPr="008F3696">
        <w:rPr>
          <w:szCs w:val="20"/>
          <w:lang w:eastAsia="zh-CN"/>
        </w:rPr>
        <w:t xml:space="preserve">, there is no additional effort </w:t>
      </w:r>
      <w:r>
        <w:rPr>
          <w:szCs w:val="20"/>
          <w:lang w:eastAsia="zh-CN"/>
        </w:rPr>
        <w:t>for non-RedCap UEs to support NCD-SSB as RedCap UEs in Rel-17, while the only thing needed is to introduce a</w:t>
      </w:r>
      <w:r w:rsidR="00746CB7">
        <w:rPr>
          <w:szCs w:val="20"/>
          <w:lang w:eastAsia="zh-CN"/>
        </w:rPr>
        <w:t xml:space="preserve">n optional </w:t>
      </w:r>
      <w:r>
        <w:rPr>
          <w:szCs w:val="20"/>
          <w:lang w:eastAsia="zh-CN"/>
        </w:rPr>
        <w:t xml:space="preserve">capability to support this feature. </w:t>
      </w:r>
      <w:r w:rsidR="00A3131A">
        <w:rPr>
          <w:rFonts w:hint="eastAsia"/>
          <w:szCs w:val="20"/>
          <w:lang w:eastAsia="zh-CN"/>
        </w:rPr>
        <w:t>B</w:t>
      </w:r>
      <w:r w:rsidR="00A3131A">
        <w:rPr>
          <w:szCs w:val="20"/>
          <w:lang w:eastAsia="zh-CN"/>
        </w:rPr>
        <w:t>esides, it is also beneficial for non-RedCap UEs to support NCD-SSB as Red</w:t>
      </w:r>
      <w:r w:rsidR="00A3131A">
        <w:rPr>
          <w:rFonts w:hint="eastAsia"/>
          <w:szCs w:val="20"/>
          <w:lang w:eastAsia="zh-CN"/>
        </w:rPr>
        <w:t>C</w:t>
      </w:r>
      <w:r w:rsidR="00A3131A">
        <w:rPr>
          <w:szCs w:val="20"/>
          <w:lang w:eastAsia="zh-CN"/>
        </w:rPr>
        <w:t xml:space="preserve">ap UEs. For example, in case the active BWP </w:t>
      </w:r>
      <w:r w:rsidR="00DA1AD4">
        <w:rPr>
          <w:szCs w:val="20"/>
          <w:lang w:eastAsia="zh-CN"/>
        </w:rPr>
        <w:t>contain</w:t>
      </w:r>
      <w:r w:rsidR="0074465C">
        <w:rPr>
          <w:szCs w:val="20"/>
          <w:lang w:eastAsia="zh-CN"/>
        </w:rPr>
        <w:t>s</w:t>
      </w:r>
      <w:r w:rsidR="00A3131A">
        <w:rPr>
          <w:szCs w:val="20"/>
          <w:lang w:eastAsia="zh-CN"/>
        </w:rPr>
        <w:t xml:space="preserve"> </w:t>
      </w:r>
      <w:r w:rsidR="0074465C">
        <w:rPr>
          <w:szCs w:val="20"/>
          <w:lang w:eastAsia="zh-CN"/>
        </w:rPr>
        <w:t xml:space="preserve">only </w:t>
      </w:r>
      <w:r w:rsidR="00A3131A">
        <w:rPr>
          <w:szCs w:val="20"/>
          <w:lang w:eastAsia="zh-CN"/>
        </w:rPr>
        <w:t xml:space="preserve">NCD-SSB, but </w:t>
      </w:r>
      <w:r w:rsidR="0074465C">
        <w:rPr>
          <w:szCs w:val="20"/>
          <w:lang w:eastAsia="zh-CN"/>
        </w:rPr>
        <w:t xml:space="preserve">does </w:t>
      </w:r>
      <w:r w:rsidR="00A3131A">
        <w:rPr>
          <w:szCs w:val="20"/>
          <w:lang w:eastAsia="zh-CN"/>
        </w:rPr>
        <w:t xml:space="preserve">not </w:t>
      </w:r>
      <w:r w:rsidR="0074465C">
        <w:rPr>
          <w:szCs w:val="20"/>
          <w:lang w:eastAsia="zh-CN"/>
        </w:rPr>
        <w:t>contain</w:t>
      </w:r>
      <w:r w:rsidR="00A62A0F">
        <w:rPr>
          <w:szCs w:val="20"/>
          <w:lang w:eastAsia="zh-CN"/>
        </w:rPr>
        <w:t xml:space="preserve"> </w:t>
      </w:r>
      <w:r w:rsidR="00A3131A">
        <w:rPr>
          <w:szCs w:val="20"/>
          <w:lang w:eastAsia="zh-CN"/>
        </w:rPr>
        <w:t xml:space="preserve">with CD-SSB, </w:t>
      </w:r>
      <w:r w:rsidR="00987912">
        <w:rPr>
          <w:szCs w:val="20"/>
          <w:lang w:eastAsia="zh-CN"/>
        </w:rPr>
        <w:t>some retuning between active BWP and initial BWP could be avoid when performing RLM/BFD</w:t>
      </w:r>
      <w:r w:rsidR="00306A98">
        <w:rPr>
          <w:szCs w:val="20"/>
          <w:lang w:eastAsia="zh-CN"/>
        </w:rPr>
        <w:t xml:space="preserve"> and RRM</w:t>
      </w:r>
      <w:r w:rsidR="00987912">
        <w:rPr>
          <w:szCs w:val="20"/>
          <w:lang w:eastAsia="zh-CN"/>
        </w:rPr>
        <w:t xml:space="preserve">. </w:t>
      </w:r>
    </w:p>
    <w:p w14:paraId="059C7606" w14:textId="3CF7AF2E" w:rsidR="006525AD" w:rsidRPr="008F3696" w:rsidRDefault="006525AD" w:rsidP="006525AD">
      <w:pPr>
        <w:pStyle w:val="aa"/>
        <w:tabs>
          <w:tab w:val="left" w:pos="425"/>
        </w:tabs>
        <w:rPr>
          <w:szCs w:val="20"/>
          <w:lang w:eastAsia="zh-CN"/>
        </w:rPr>
      </w:pPr>
      <w:r>
        <w:rPr>
          <w:szCs w:val="20"/>
          <w:lang w:eastAsia="zh-CN"/>
        </w:rPr>
        <w:t>While f</w:t>
      </w:r>
      <w:r w:rsidRPr="00FD06CC">
        <w:rPr>
          <w:szCs w:val="20"/>
          <w:lang w:eastAsia="zh-CN"/>
        </w:rPr>
        <w:t xml:space="preserve">rom </w:t>
      </w:r>
      <w:r>
        <w:rPr>
          <w:szCs w:val="20"/>
          <w:lang w:eastAsia="zh-CN"/>
        </w:rPr>
        <w:t>network</w:t>
      </w:r>
      <w:r w:rsidRPr="00FD06CC">
        <w:rPr>
          <w:szCs w:val="20"/>
          <w:lang w:eastAsia="zh-CN"/>
        </w:rPr>
        <w:t xml:space="preserve"> perspective, </w:t>
      </w:r>
      <w:r>
        <w:rPr>
          <w:szCs w:val="20"/>
          <w:lang w:eastAsia="zh-CN"/>
        </w:rPr>
        <w:t>network</w:t>
      </w:r>
      <w:r w:rsidRPr="00FD06CC">
        <w:rPr>
          <w:szCs w:val="20"/>
          <w:lang w:eastAsia="zh-CN"/>
        </w:rPr>
        <w:t xml:space="preserve"> anyway needs to provide NCD-SSB as long as it is configured for one connected RedCap UE in this cell</w:t>
      </w:r>
      <w:r>
        <w:rPr>
          <w:szCs w:val="20"/>
          <w:lang w:eastAsia="zh-CN"/>
        </w:rPr>
        <w:t>. Thus,</w:t>
      </w:r>
      <w:r w:rsidRPr="00FD06CC">
        <w:rPr>
          <w:szCs w:val="20"/>
          <w:lang w:eastAsia="zh-CN"/>
        </w:rPr>
        <w:t xml:space="preserve"> there is no additional overhead for </w:t>
      </w:r>
      <w:r>
        <w:rPr>
          <w:szCs w:val="20"/>
          <w:lang w:eastAsia="zh-CN"/>
        </w:rPr>
        <w:t>non-</w:t>
      </w:r>
      <w:r w:rsidRPr="00FD06CC">
        <w:rPr>
          <w:szCs w:val="20"/>
          <w:lang w:eastAsia="zh-CN"/>
        </w:rPr>
        <w:t xml:space="preserve">RedCap UEs to use </w:t>
      </w:r>
      <w:r>
        <w:rPr>
          <w:szCs w:val="20"/>
          <w:lang w:eastAsia="zh-CN"/>
        </w:rPr>
        <w:t xml:space="preserve">NCD-SSB. Besides, it is up to network control whether to configure NCD-SSB for </w:t>
      </w:r>
      <w:r>
        <w:rPr>
          <w:rFonts w:hint="eastAsia"/>
          <w:szCs w:val="20"/>
          <w:lang w:eastAsia="zh-CN"/>
        </w:rPr>
        <w:t>non</w:t>
      </w:r>
      <w:r>
        <w:rPr>
          <w:szCs w:val="20"/>
          <w:lang w:eastAsia="zh-CN"/>
        </w:rPr>
        <w:t xml:space="preserve">-RedCap UEs, which </w:t>
      </w:r>
      <w:r w:rsidRPr="008F3696">
        <w:rPr>
          <w:szCs w:val="20"/>
          <w:lang w:eastAsia="zh-CN"/>
        </w:rPr>
        <w:t>give</w:t>
      </w:r>
      <w:r>
        <w:rPr>
          <w:szCs w:val="20"/>
          <w:lang w:eastAsia="zh-CN"/>
        </w:rPr>
        <w:t>s</w:t>
      </w:r>
      <w:r w:rsidRPr="008F3696">
        <w:rPr>
          <w:szCs w:val="20"/>
          <w:lang w:eastAsia="zh-CN"/>
        </w:rPr>
        <w:t xml:space="preserve"> network more flexibility</w:t>
      </w:r>
      <w:r w:rsidR="00306A98">
        <w:rPr>
          <w:szCs w:val="20"/>
          <w:lang w:eastAsia="zh-CN"/>
        </w:rPr>
        <w:t xml:space="preserve"> and the function of NCD-SSB can be fully used</w:t>
      </w:r>
      <w:r>
        <w:rPr>
          <w:szCs w:val="20"/>
          <w:lang w:eastAsia="zh-CN"/>
        </w:rPr>
        <w:t>.</w:t>
      </w:r>
    </w:p>
    <w:p w14:paraId="5699C1B7" w14:textId="7DF80F89" w:rsidR="008411DD" w:rsidRPr="001F2F3B" w:rsidRDefault="00306A98" w:rsidP="008411DD">
      <w:pPr>
        <w:pStyle w:val="aa"/>
        <w:tabs>
          <w:tab w:val="left" w:pos="425"/>
        </w:tabs>
        <w:rPr>
          <w:szCs w:val="20"/>
          <w:lang w:val="en-GB" w:eastAsia="zh-CN"/>
        </w:rPr>
      </w:pPr>
      <w:r>
        <w:rPr>
          <w:szCs w:val="20"/>
          <w:lang w:val="en-GB" w:eastAsia="zh-CN"/>
        </w:rPr>
        <w:t>Therefore</w:t>
      </w:r>
      <w:r w:rsidR="008411DD">
        <w:rPr>
          <w:szCs w:val="20"/>
          <w:lang w:val="en-GB" w:eastAsia="zh-CN"/>
        </w:rPr>
        <w:t>, w</w:t>
      </w:r>
      <w:r w:rsidR="008411DD">
        <w:rPr>
          <w:szCs w:val="20"/>
          <w:lang w:eastAsia="zh-CN"/>
        </w:rPr>
        <w:t xml:space="preserve">e think it is reasonable </w:t>
      </w:r>
      <w:r>
        <w:rPr>
          <w:szCs w:val="20"/>
          <w:lang w:eastAsia="zh-CN"/>
        </w:rPr>
        <w:t xml:space="preserve">and beneficial </w:t>
      </w:r>
      <w:r w:rsidR="008411DD">
        <w:rPr>
          <w:szCs w:val="20"/>
          <w:lang w:eastAsia="zh-CN"/>
        </w:rPr>
        <w:t xml:space="preserve">to </w:t>
      </w:r>
      <w:r w:rsidR="005C2B2B">
        <w:rPr>
          <w:szCs w:val="20"/>
          <w:lang w:eastAsia="zh-CN"/>
        </w:rPr>
        <w:t xml:space="preserve">support NCD-SSB for </w:t>
      </w:r>
      <w:r w:rsidR="005C2B2B">
        <w:rPr>
          <w:rFonts w:hint="eastAsia"/>
          <w:szCs w:val="20"/>
          <w:lang w:eastAsia="zh-CN"/>
        </w:rPr>
        <w:t>no</w:t>
      </w:r>
      <w:r w:rsidR="005C2B2B">
        <w:rPr>
          <w:szCs w:val="20"/>
          <w:lang w:eastAsia="zh-CN"/>
        </w:rPr>
        <w:t xml:space="preserve">n-RedCap UEs in Rel-17 as an optional capability. </w:t>
      </w:r>
    </w:p>
    <w:p w14:paraId="12B69294" w14:textId="571CB051" w:rsidR="005C2B2B" w:rsidRPr="00280369" w:rsidRDefault="005C2B2B" w:rsidP="005C2B2B">
      <w:pPr>
        <w:pStyle w:val="aa"/>
        <w:tabs>
          <w:tab w:val="left" w:pos="425"/>
        </w:tabs>
        <w:rPr>
          <w:b/>
          <w:bCs/>
          <w:szCs w:val="20"/>
          <w:lang w:eastAsia="zh-CN"/>
        </w:rPr>
      </w:pPr>
      <w:r>
        <w:rPr>
          <w:b/>
          <w:bCs/>
          <w:szCs w:val="20"/>
          <w:lang w:eastAsia="zh-CN"/>
        </w:rPr>
        <w:t xml:space="preserve">Proposal 2: RAN provides guidance that </w:t>
      </w:r>
      <w:r w:rsidR="004F1F94">
        <w:rPr>
          <w:b/>
          <w:bCs/>
          <w:szCs w:val="20"/>
          <w:lang w:eastAsia="zh-CN"/>
        </w:rPr>
        <w:t xml:space="preserve">NCD-SSB </w:t>
      </w:r>
      <w:r>
        <w:rPr>
          <w:b/>
          <w:bCs/>
          <w:szCs w:val="20"/>
          <w:lang w:eastAsia="zh-CN"/>
        </w:rPr>
        <w:t>in Rel-17 RedCap WI could be applied for all UEs, including RedCap and non-RedCap UEs.</w:t>
      </w:r>
    </w:p>
    <w:p w14:paraId="59314F8A" w14:textId="74E56959" w:rsidR="00036AD3" w:rsidRDefault="00036AD3" w:rsidP="007E0497">
      <w:pPr>
        <w:pStyle w:val="a3"/>
        <w:spacing w:before="0"/>
        <w:jc w:val="both"/>
        <w:rPr>
          <w:b/>
          <w:lang w:val="en-US" w:eastAsia="zh-CN"/>
        </w:rPr>
      </w:pPr>
    </w:p>
    <w:p w14:paraId="20AF6213" w14:textId="77777777" w:rsidR="00036AD3" w:rsidRDefault="00C875F9" w:rsidP="00B94DDC">
      <w:pPr>
        <w:pStyle w:val="1"/>
        <w:keepLines/>
        <w:numPr>
          <w:ilvl w:val="0"/>
          <w:numId w:val="26"/>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03523B83" w14:textId="5A3FC4C8" w:rsidR="00036AD3" w:rsidRDefault="00C875F9">
      <w:pPr>
        <w:overflowPunct w:val="0"/>
        <w:autoSpaceDE w:val="0"/>
        <w:autoSpaceDN w:val="0"/>
        <w:adjustRightInd w:val="0"/>
        <w:spacing w:after="180"/>
        <w:jc w:val="both"/>
        <w:textAlignment w:val="baseline"/>
        <w:rPr>
          <w:sz w:val="21"/>
        </w:rPr>
      </w:pPr>
      <w:r>
        <w:rPr>
          <w:sz w:val="21"/>
        </w:rPr>
        <w:t>I</w:t>
      </w:r>
      <w:r>
        <w:rPr>
          <w:rFonts w:hint="eastAsia"/>
          <w:sz w:val="21"/>
        </w:rPr>
        <w:t xml:space="preserve">n this contribution, we </w:t>
      </w:r>
      <w:r>
        <w:rPr>
          <w:sz w:val="21"/>
        </w:rPr>
        <w:t>provide</w:t>
      </w:r>
      <w:r w:rsidR="009B2961">
        <w:rPr>
          <w:sz w:val="21"/>
        </w:rPr>
        <w:t>d</w:t>
      </w:r>
      <w:r>
        <w:rPr>
          <w:rFonts w:hint="eastAsia"/>
          <w:sz w:val="21"/>
        </w:rPr>
        <w:t xml:space="preserve"> our views on</w:t>
      </w:r>
      <w:r w:rsidR="00BC0D67">
        <w:rPr>
          <w:sz w:val="21"/>
        </w:rPr>
        <w:t xml:space="preserve"> whether eDRX, RRM relaxation, NCD-SSB introduced in Rel-17 RedCap WI could be applied for non-RedCap UEs.</w:t>
      </w:r>
      <w:r>
        <w:rPr>
          <w:sz w:val="21"/>
        </w:rPr>
        <w:t xml:space="preserve"> </w:t>
      </w:r>
      <w:r>
        <w:rPr>
          <w:rFonts w:hint="eastAsia"/>
          <w:sz w:val="21"/>
        </w:rPr>
        <w:t xml:space="preserve">The </w:t>
      </w:r>
      <w:r w:rsidR="005236D7">
        <w:rPr>
          <w:sz w:val="21"/>
        </w:rPr>
        <w:t xml:space="preserve">following </w:t>
      </w:r>
      <w:r>
        <w:rPr>
          <w:sz w:val="21"/>
        </w:rPr>
        <w:t xml:space="preserve">proposals are </w:t>
      </w:r>
      <w:r w:rsidR="005236D7">
        <w:rPr>
          <w:sz w:val="21"/>
        </w:rPr>
        <w:t>achieved</w:t>
      </w:r>
      <w:r>
        <w:rPr>
          <w:rFonts w:hint="eastAsia"/>
          <w:sz w:val="21"/>
        </w:rPr>
        <w:t>:</w:t>
      </w:r>
      <w:r>
        <w:rPr>
          <w:sz w:val="21"/>
        </w:rPr>
        <w:t xml:space="preserve"> </w:t>
      </w:r>
    </w:p>
    <w:p w14:paraId="104E7DD6" w14:textId="77777777" w:rsidR="00BC0D67" w:rsidRPr="00280369" w:rsidRDefault="00BC0D67" w:rsidP="00BC0D67">
      <w:pPr>
        <w:pStyle w:val="aa"/>
        <w:tabs>
          <w:tab w:val="left" w:pos="425"/>
        </w:tabs>
        <w:rPr>
          <w:b/>
          <w:bCs/>
          <w:szCs w:val="20"/>
          <w:lang w:eastAsia="zh-CN"/>
        </w:rPr>
      </w:pPr>
      <w:r>
        <w:rPr>
          <w:b/>
          <w:bCs/>
          <w:szCs w:val="20"/>
          <w:lang w:eastAsia="zh-CN"/>
        </w:rPr>
        <w:t xml:space="preserve">Proposal 1: RAN provides guidance that </w:t>
      </w:r>
      <w:r>
        <w:rPr>
          <w:rFonts w:hint="eastAsia"/>
          <w:b/>
          <w:bCs/>
          <w:szCs w:val="20"/>
          <w:lang w:eastAsia="zh-CN"/>
        </w:rPr>
        <w:t>eD</w:t>
      </w:r>
      <w:r>
        <w:rPr>
          <w:b/>
          <w:bCs/>
          <w:szCs w:val="20"/>
          <w:lang w:eastAsia="zh-CN"/>
        </w:rPr>
        <w:t>RX and RRM relaxation in Rel-17 RedCap WI could be applied for all UEs, including RedCap and non-RedCap UEs.</w:t>
      </w:r>
    </w:p>
    <w:p w14:paraId="2E3E26E0" w14:textId="77777777" w:rsidR="00BC0D67" w:rsidRPr="00280369" w:rsidRDefault="00BC0D67" w:rsidP="00BC0D67">
      <w:pPr>
        <w:pStyle w:val="aa"/>
        <w:tabs>
          <w:tab w:val="left" w:pos="425"/>
        </w:tabs>
        <w:rPr>
          <w:b/>
          <w:bCs/>
          <w:szCs w:val="20"/>
          <w:lang w:eastAsia="zh-CN"/>
        </w:rPr>
      </w:pPr>
      <w:r>
        <w:rPr>
          <w:b/>
          <w:bCs/>
          <w:szCs w:val="20"/>
          <w:lang w:eastAsia="zh-CN"/>
        </w:rPr>
        <w:t>Proposal 2: RAN provides guidance that NCD-SSB in Rel-17 RedCap WI could be applied for all UEs, including RedCap and non-RedCap UEs.</w:t>
      </w:r>
    </w:p>
    <w:bookmarkEnd w:id="3"/>
    <w:bookmarkEnd w:id="4"/>
    <w:p w14:paraId="6B1335D6" w14:textId="77777777" w:rsidR="001C06E6" w:rsidRDefault="001C06E6" w:rsidP="007E086F">
      <w:pPr>
        <w:pStyle w:val="1"/>
        <w:keepLines/>
        <w:numPr>
          <w:ilvl w:val="0"/>
          <w:numId w:val="28"/>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5B054B4D" w14:textId="77777777" w:rsidR="001C06E6" w:rsidRDefault="001C06E6" w:rsidP="001C06E6">
      <w:pPr>
        <w:pStyle w:val="aa"/>
        <w:numPr>
          <w:ilvl w:val="0"/>
          <w:numId w:val="14"/>
        </w:numPr>
        <w:rPr>
          <w:sz w:val="21"/>
        </w:rPr>
      </w:pPr>
      <w:r>
        <w:rPr>
          <w:sz w:val="21"/>
        </w:rPr>
        <w:t>RP-211574 Revised WID on support of reduced capability NR devices; Ericsson</w:t>
      </w:r>
    </w:p>
    <w:p w14:paraId="270F57AF" w14:textId="77777777" w:rsidR="00533D24" w:rsidRDefault="005E214C" w:rsidP="00533D24">
      <w:pPr>
        <w:pStyle w:val="aa"/>
        <w:numPr>
          <w:ilvl w:val="0"/>
          <w:numId w:val="14"/>
        </w:numPr>
        <w:rPr>
          <w:sz w:val="21"/>
        </w:rPr>
      </w:pPr>
      <w:r w:rsidRPr="005E214C">
        <w:rPr>
          <w:sz w:val="21"/>
        </w:rPr>
        <w:t>R2-2203540</w:t>
      </w:r>
      <w:r w:rsidR="00DF2EFB">
        <w:rPr>
          <w:sz w:val="21"/>
        </w:rPr>
        <w:t xml:space="preserve">, </w:t>
      </w:r>
      <w:r w:rsidRPr="005E214C">
        <w:rPr>
          <w:sz w:val="21"/>
        </w:rPr>
        <w:t>[offline-107] UE caps open issues</w:t>
      </w:r>
      <w:r w:rsidR="001D7A50">
        <w:rPr>
          <w:sz w:val="21"/>
        </w:rPr>
        <w:t>, Inte</w:t>
      </w:r>
      <w:r w:rsidR="00533D24">
        <w:rPr>
          <w:sz w:val="21"/>
        </w:rPr>
        <w:t>l</w:t>
      </w:r>
    </w:p>
    <w:p w14:paraId="7C5D4BB1" w14:textId="4AF880F6" w:rsidR="00533D24" w:rsidRPr="00533D24" w:rsidRDefault="00533D24" w:rsidP="0034645D">
      <w:pPr>
        <w:pStyle w:val="aa"/>
        <w:numPr>
          <w:ilvl w:val="0"/>
          <w:numId w:val="14"/>
        </w:numPr>
        <w:rPr>
          <w:sz w:val="21"/>
        </w:rPr>
      </w:pPr>
      <w:r w:rsidRPr="00533D24">
        <w:rPr>
          <w:sz w:val="21"/>
        </w:rPr>
        <w:lastRenderedPageBreak/>
        <w:t>R2-2203502, Report for [Pre117-e][105][RedCap] CP open issues, Ericsso</w:t>
      </w:r>
      <w:r>
        <w:rPr>
          <w:sz w:val="21"/>
        </w:rPr>
        <w:t>n</w:t>
      </w:r>
    </w:p>
    <w:p w14:paraId="4E7AD494" w14:textId="77777777" w:rsidR="00533D24" w:rsidRDefault="00533D24" w:rsidP="00533D24">
      <w:pPr>
        <w:pStyle w:val="aa"/>
        <w:rPr>
          <w:sz w:val="21"/>
        </w:rPr>
      </w:pPr>
    </w:p>
    <w:sectPr w:rsidR="00533D24" w:rsidSect="00D22E20">
      <w:pgSz w:w="11906" w:h="16838"/>
      <w:pgMar w:top="1418"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72F08" w14:textId="77777777" w:rsidR="007C66CB" w:rsidRDefault="007C66CB" w:rsidP="007E0497">
      <w:r>
        <w:separator/>
      </w:r>
    </w:p>
  </w:endnote>
  <w:endnote w:type="continuationSeparator" w:id="0">
    <w:p w14:paraId="2B417096" w14:textId="77777777" w:rsidR="007C66CB" w:rsidRDefault="007C66CB" w:rsidP="007E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77FE4" w14:textId="77777777" w:rsidR="007C66CB" w:rsidRDefault="007C66CB" w:rsidP="007E0497">
      <w:r>
        <w:separator/>
      </w:r>
    </w:p>
  </w:footnote>
  <w:footnote w:type="continuationSeparator" w:id="0">
    <w:p w14:paraId="1AE38F58" w14:textId="77777777" w:rsidR="007C66CB" w:rsidRDefault="007C66CB" w:rsidP="007E04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00BC482C"/>
    <w:multiLevelType w:val="hybridMultilevel"/>
    <w:tmpl w:val="E9F02384"/>
    <w:lvl w:ilvl="0" w:tplc="763E9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2D6DDA"/>
    <w:multiLevelType w:val="multilevel"/>
    <w:tmpl w:val="072D6DD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6630ACF"/>
    <w:multiLevelType w:val="multilevel"/>
    <w:tmpl w:val="16630A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9F12FB"/>
    <w:multiLevelType w:val="hybridMultilevel"/>
    <w:tmpl w:val="729678FC"/>
    <w:lvl w:ilvl="0" w:tplc="BCACB1F4">
      <w:start w:val="2"/>
      <w:numFmt w:val="bullet"/>
      <w:lvlText w:val="-"/>
      <w:lvlJc w:val="left"/>
      <w:pPr>
        <w:ind w:left="360" w:hanging="360"/>
      </w:pPr>
      <w:rPr>
        <w:rFonts w:ascii="Times" w:eastAsia="Times New Roman"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CC6BAF"/>
    <w:multiLevelType w:val="singleLevel"/>
    <w:tmpl w:val="25CC6BAF"/>
    <w:lvl w:ilvl="0">
      <w:start w:val="1"/>
      <w:numFmt w:val="decimal"/>
      <w:suff w:val="space"/>
      <w:lvlText w:val="%1."/>
      <w:lvlJc w:val="left"/>
    </w:lvl>
  </w:abstractNum>
  <w:abstractNum w:abstractNumId="9"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9B0BCE"/>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DF52AD8"/>
    <w:multiLevelType w:val="hybridMultilevel"/>
    <w:tmpl w:val="C7C2D214"/>
    <w:lvl w:ilvl="0" w:tplc="D1B22772">
      <w:start w:val="6"/>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3FD0683"/>
    <w:multiLevelType w:val="hybridMultilevel"/>
    <w:tmpl w:val="2D2C4DF4"/>
    <w:lvl w:ilvl="0" w:tplc="7A7A2AC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062016"/>
    <w:multiLevelType w:val="multilevel"/>
    <w:tmpl w:val="4906201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4B5D02E4"/>
    <w:multiLevelType w:val="multilevel"/>
    <w:tmpl w:val="4B5D02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50F75D1E"/>
    <w:multiLevelType w:val="hybridMultilevel"/>
    <w:tmpl w:val="26780B84"/>
    <w:lvl w:ilvl="0" w:tplc="00340182">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4221B9"/>
    <w:multiLevelType w:val="hybridMultilevel"/>
    <w:tmpl w:val="8B86F5BE"/>
    <w:lvl w:ilvl="0" w:tplc="474C89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EF1CBF"/>
    <w:multiLevelType w:val="multilevel"/>
    <w:tmpl w:val="FAAE937E"/>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5FA504CF"/>
    <w:multiLevelType w:val="hybridMultilevel"/>
    <w:tmpl w:val="FE2812B8"/>
    <w:lvl w:ilvl="0" w:tplc="BF20C82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60072F32"/>
    <w:multiLevelType w:val="hybridMultilevel"/>
    <w:tmpl w:val="E334D14A"/>
    <w:lvl w:ilvl="0" w:tplc="6BDC6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6528040B"/>
    <w:multiLevelType w:val="hybridMultilevel"/>
    <w:tmpl w:val="7F8C8CA8"/>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175358"/>
    <w:multiLevelType w:val="multilevel"/>
    <w:tmpl w:val="66175358"/>
    <w:lvl w:ilvl="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27" w15:restartNumberingAfterBreak="0">
    <w:nsid w:val="72602E6B"/>
    <w:multiLevelType w:val="multilevel"/>
    <w:tmpl w:val="72602E6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757114B"/>
    <w:multiLevelType w:val="hybridMultilevel"/>
    <w:tmpl w:val="1BE8E636"/>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8"/>
  </w:num>
  <w:num w:numId="2">
    <w:abstractNumId w:val="12"/>
  </w:num>
  <w:num w:numId="3">
    <w:abstractNumId w:val="26"/>
  </w:num>
  <w:num w:numId="4">
    <w:abstractNumId w:val="2"/>
  </w:num>
  <w:num w:numId="5">
    <w:abstractNumId w:val="25"/>
  </w:num>
  <w:num w:numId="6">
    <w:abstractNumId w:val="9"/>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6"/>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0"/>
  </w:num>
  <w:num w:numId="15">
    <w:abstractNumId w:val="1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29"/>
  </w:num>
  <w:num w:numId="19">
    <w:abstractNumId w:val="7"/>
  </w:num>
  <w:num w:numId="20">
    <w:abstractNumId w:val="6"/>
  </w:num>
  <w:num w:numId="21">
    <w:abstractNumId w:val="11"/>
  </w:num>
  <w:num w:numId="22">
    <w:abstractNumId w:val="21"/>
  </w:num>
  <w:num w:numId="23">
    <w:abstractNumId w:val="4"/>
  </w:num>
  <w:num w:numId="24">
    <w:abstractNumId w:val="19"/>
  </w:num>
  <w:num w:numId="25">
    <w:abstractNumId w:val="1"/>
  </w:num>
  <w:num w:numId="26">
    <w:abstractNumId w:val="18"/>
  </w:num>
  <w:num w:numId="27">
    <w:abstractNumId w:val="30"/>
  </w:num>
  <w:num w:numId="28">
    <w:abstractNumId w:val="13"/>
  </w:num>
  <w:num w:numId="29">
    <w:abstractNumId w:val="22"/>
  </w:num>
  <w:num w:numId="30">
    <w:abstractNumId w:val="15"/>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sFAGexsXwtAAAA"/>
  </w:docVars>
  <w:rsids>
    <w:rsidRoot w:val="00B87FBC"/>
    <w:rsid w:val="0000010E"/>
    <w:rsid w:val="000003EC"/>
    <w:rsid w:val="0000069E"/>
    <w:rsid w:val="000009CC"/>
    <w:rsid w:val="00000AF5"/>
    <w:rsid w:val="00000B5E"/>
    <w:rsid w:val="00000F90"/>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279"/>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B8"/>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892"/>
    <w:rsid w:val="000139AD"/>
    <w:rsid w:val="00013BFE"/>
    <w:rsid w:val="00013C52"/>
    <w:rsid w:val="00014496"/>
    <w:rsid w:val="0001454B"/>
    <w:rsid w:val="00014662"/>
    <w:rsid w:val="00014D04"/>
    <w:rsid w:val="00014F8D"/>
    <w:rsid w:val="00015445"/>
    <w:rsid w:val="000157B2"/>
    <w:rsid w:val="000159BC"/>
    <w:rsid w:val="000159ED"/>
    <w:rsid w:val="00015A28"/>
    <w:rsid w:val="00015A87"/>
    <w:rsid w:val="00015BB4"/>
    <w:rsid w:val="00015CAC"/>
    <w:rsid w:val="00015F02"/>
    <w:rsid w:val="00016520"/>
    <w:rsid w:val="00016636"/>
    <w:rsid w:val="0001676B"/>
    <w:rsid w:val="000168B8"/>
    <w:rsid w:val="00016AC6"/>
    <w:rsid w:val="00016CE7"/>
    <w:rsid w:val="0001744A"/>
    <w:rsid w:val="000174AD"/>
    <w:rsid w:val="00017540"/>
    <w:rsid w:val="0001771D"/>
    <w:rsid w:val="000177C3"/>
    <w:rsid w:val="00017851"/>
    <w:rsid w:val="000179C3"/>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25"/>
    <w:rsid w:val="00022A7D"/>
    <w:rsid w:val="00023140"/>
    <w:rsid w:val="00023254"/>
    <w:rsid w:val="000235B6"/>
    <w:rsid w:val="000238E5"/>
    <w:rsid w:val="00023973"/>
    <w:rsid w:val="00023AA0"/>
    <w:rsid w:val="00023CFB"/>
    <w:rsid w:val="00023DDC"/>
    <w:rsid w:val="000241CB"/>
    <w:rsid w:val="00024245"/>
    <w:rsid w:val="0002425E"/>
    <w:rsid w:val="00024A62"/>
    <w:rsid w:val="00024F02"/>
    <w:rsid w:val="000250AB"/>
    <w:rsid w:val="0002539B"/>
    <w:rsid w:val="0002552A"/>
    <w:rsid w:val="00025A64"/>
    <w:rsid w:val="00025B20"/>
    <w:rsid w:val="000260C1"/>
    <w:rsid w:val="00026748"/>
    <w:rsid w:val="00026AFB"/>
    <w:rsid w:val="00026B1D"/>
    <w:rsid w:val="000274AF"/>
    <w:rsid w:val="0002754F"/>
    <w:rsid w:val="00027756"/>
    <w:rsid w:val="00027CFE"/>
    <w:rsid w:val="00027DEC"/>
    <w:rsid w:val="00027E99"/>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AD3"/>
    <w:rsid w:val="00036CBB"/>
    <w:rsid w:val="00036D89"/>
    <w:rsid w:val="00036E53"/>
    <w:rsid w:val="00036FF1"/>
    <w:rsid w:val="00037375"/>
    <w:rsid w:val="00037530"/>
    <w:rsid w:val="00037599"/>
    <w:rsid w:val="0003772C"/>
    <w:rsid w:val="000377D4"/>
    <w:rsid w:val="00037907"/>
    <w:rsid w:val="00037A36"/>
    <w:rsid w:val="00037A41"/>
    <w:rsid w:val="00037DBD"/>
    <w:rsid w:val="00037E65"/>
    <w:rsid w:val="0004019B"/>
    <w:rsid w:val="00040696"/>
    <w:rsid w:val="0004116E"/>
    <w:rsid w:val="000412E1"/>
    <w:rsid w:val="000413CC"/>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0F7"/>
    <w:rsid w:val="0004663D"/>
    <w:rsid w:val="00046A48"/>
    <w:rsid w:val="00046ADD"/>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1A"/>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2E62"/>
    <w:rsid w:val="00053004"/>
    <w:rsid w:val="00053160"/>
    <w:rsid w:val="000532DD"/>
    <w:rsid w:val="000534DE"/>
    <w:rsid w:val="000537F7"/>
    <w:rsid w:val="00053B4D"/>
    <w:rsid w:val="00053D7E"/>
    <w:rsid w:val="00053DC8"/>
    <w:rsid w:val="000540C0"/>
    <w:rsid w:val="0005462F"/>
    <w:rsid w:val="00054698"/>
    <w:rsid w:val="0005477E"/>
    <w:rsid w:val="000548DB"/>
    <w:rsid w:val="00054CD8"/>
    <w:rsid w:val="00054EDB"/>
    <w:rsid w:val="0005526A"/>
    <w:rsid w:val="0005574B"/>
    <w:rsid w:val="000559D2"/>
    <w:rsid w:val="00055E49"/>
    <w:rsid w:val="00056247"/>
    <w:rsid w:val="0005628E"/>
    <w:rsid w:val="000568E4"/>
    <w:rsid w:val="00056CB8"/>
    <w:rsid w:val="00056EC9"/>
    <w:rsid w:val="00056F37"/>
    <w:rsid w:val="00057021"/>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2F5F"/>
    <w:rsid w:val="000631D5"/>
    <w:rsid w:val="000632A0"/>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690"/>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3F2"/>
    <w:rsid w:val="0007544C"/>
    <w:rsid w:val="0007552C"/>
    <w:rsid w:val="00075836"/>
    <w:rsid w:val="00075ADF"/>
    <w:rsid w:val="00075FDA"/>
    <w:rsid w:val="00076037"/>
    <w:rsid w:val="000762E7"/>
    <w:rsid w:val="00076367"/>
    <w:rsid w:val="00076645"/>
    <w:rsid w:val="0007680E"/>
    <w:rsid w:val="0007691E"/>
    <w:rsid w:val="00076A2B"/>
    <w:rsid w:val="00076AD3"/>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C9A"/>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7DC"/>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6CF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4FC"/>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AAB"/>
    <w:rsid w:val="00096C12"/>
    <w:rsid w:val="00096E01"/>
    <w:rsid w:val="00096F93"/>
    <w:rsid w:val="000974E4"/>
    <w:rsid w:val="0009777D"/>
    <w:rsid w:val="00097909"/>
    <w:rsid w:val="00097C62"/>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41"/>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27"/>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148"/>
    <w:rsid w:val="000B555C"/>
    <w:rsid w:val="000B576F"/>
    <w:rsid w:val="000B5AC3"/>
    <w:rsid w:val="000B5DA7"/>
    <w:rsid w:val="000B5DF0"/>
    <w:rsid w:val="000B5F99"/>
    <w:rsid w:val="000B60FB"/>
    <w:rsid w:val="000B6487"/>
    <w:rsid w:val="000B65E4"/>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3F4B"/>
    <w:rsid w:val="000C4018"/>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50D"/>
    <w:rsid w:val="000C7796"/>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00D"/>
    <w:rsid w:val="000D45FD"/>
    <w:rsid w:val="000D48E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5FD"/>
    <w:rsid w:val="000D77B8"/>
    <w:rsid w:val="000D787C"/>
    <w:rsid w:val="000D7BD4"/>
    <w:rsid w:val="000D7CE2"/>
    <w:rsid w:val="000D7D48"/>
    <w:rsid w:val="000D7D6B"/>
    <w:rsid w:val="000E0120"/>
    <w:rsid w:val="000E068D"/>
    <w:rsid w:val="000E095B"/>
    <w:rsid w:val="000E09B5"/>
    <w:rsid w:val="000E0F87"/>
    <w:rsid w:val="000E0FC7"/>
    <w:rsid w:val="000E1259"/>
    <w:rsid w:val="000E14BF"/>
    <w:rsid w:val="000E170C"/>
    <w:rsid w:val="000E18CC"/>
    <w:rsid w:val="000E1909"/>
    <w:rsid w:val="000E1AEC"/>
    <w:rsid w:val="000E1CFF"/>
    <w:rsid w:val="000E241E"/>
    <w:rsid w:val="000E2887"/>
    <w:rsid w:val="000E2C6A"/>
    <w:rsid w:val="000E2E9B"/>
    <w:rsid w:val="000E3022"/>
    <w:rsid w:val="000E3254"/>
    <w:rsid w:val="000E3285"/>
    <w:rsid w:val="000E348C"/>
    <w:rsid w:val="000E38A8"/>
    <w:rsid w:val="000E38CF"/>
    <w:rsid w:val="000E39A6"/>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BCD"/>
    <w:rsid w:val="000E6C5C"/>
    <w:rsid w:val="000E7159"/>
    <w:rsid w:val="000E7E98"/>
    <w:rsid w:val="000E7F62"/>
    <w:rsid w:val="000F00ED"/>
    <w:rsid w:val="000F0124"/>
    <w:rsid w:val="000F0232"/>
    <w:rsid w:val="000F1063"/>
    <w:rsid w:val="000F11F0"/>
    <w:rsid w:val="000F137D"/>
    <w:rsid w:val="000F1667"/>
    <w:rsid w:val="000F1826"/>
    <w:rsid w:val="000F1E65"/>
    <w:rsid w:val="000F1F75"/>
    <w:rsid w:val="000F1FF2"/>
    <w:rsid w:val="000F229F"/>
    <w:rsid w:val="000F26CF"/>
    <w:rsid w:val="000F2734"/>
    <w:rsid w:val="000F306D"/>
    <w:rsid w:val="000F332B"/>
    <w:rsid w:val="000F3513"/>
    <w:rsid w:val="000F3741"/>
    <w:rsid w:val="000F3754"/>
    <w:rsid w:val="000F38D0"/>
    <w:rsid w:val="000F3F5E"/>
    <w:rsid w:val="000F3FAD"/>
    <w:rsid w:val="000F418D"/>
    <w:rsid w:val="000F434D"/>
    <w:rsid w:val="000F45DC"/>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4CB"/>
    <w:rsid w:val="000F75EA"/>
    <w:rsid w:val="000F761D"/>
    <w:rsid w:val="000F76D4"/>
    <w:rsid w:val="000F77BD"/>
    <w:rsid w:val="000F78D2"/>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A35"/>
    <w:rsid w:val="00102C00"/>
    <w:rsid w:val="00102EA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1AD6"/>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6C"/>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B07"/>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4DF6"/>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5E8"/>
    <w:rsid w:val="001279D0"/>
    <w:rsid w:val="00127CAD"/>
    <w:rsid w:val="00127EA2"/>
    <w:rsid w:val="00130200"/>
    <w:rsid w:val="001303BD"/>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66"/>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425"/>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4E"/>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AF7"/>
    <w:rsid w:val="00151BB2"/>
    <w:rsid w:val="00151E6C"/>
    <w:rsid w:val="001520BA"/>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7B"/>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AB3"/>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E3C"/>
    <w:rsid w:val="00167EF6"/>
    <w:rsid w:val="001702B2"/>
    <w:rsid w:val="001703FE"/>
    <w:rsid w:val="00170436"/>
    <w:rsid w:val="0017047E"/>
    <w:rsid w:val="0017049E"/>
    <w:rsid w:val="00170A0D"/>
    <w:rsid w:val="00170B58"/>
    <w:rsid w:val="00170ED8"/>
    <w:rsid w:val="00171628"/>
    <w:rsid w:val="0017164A"/>
    <w:rsid w:val="001719FB"/>
    <w:rsid w:val="00171A56"/>
    <w:rsid w:val="00171BFD"/>
    <w:rsid w:val="0017200D"/>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06A"/>
    <w:rsid w:val="001905ED"/>
    <w:rsid w:val="001907C4"/>
    <w:rsid w:val="00190CC4"/>
    <w:rsid w:val="00190DE2"/>
    <w:rsid w:val="00190E04"/>
    <w:rsid w:val="0019123B"/>
    <w:rsid w:val="00191245"/>
    <w:rsid w:val="00191359"/>
    <w:rsid w:val="00191649"/>
    <w:rsid w:val="0019190E"/>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8E1"/>
    <w:rsid w:val="00193909"/>
    <w:rsid w:val="00193BF0"/>
    <w:rsid w:val="00193FB1"/>
    <w:rsid w:val="0019423B"/>
    <w:rsid w:val="001942AA"/>
    <w:rsid w:val="001944BE"/>
    <w:rsid w:val="001945FB"/>
    <w:rsid w:val="001947A1"/>
    <w:rsid w:val="0019497E"/>
    <w:rsid w:val="00194C1C"/>
    <w:rsid w:val="0019504F"/>
    <w:rsid w:val="001951D6"/>
    <w:rsid w:val="001952BA"/>
    <w:rsid w:val="0019588F"/>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338"/>
    <w:rsid w:val="001A0F25"/>
    <w:rsid w:val="001A181F"/>
    <w:rsid w:val="001A190A"/>
    <w:rsid w:val="001A1A14"/>
    <w:rsid w:val="001A1CCE"/>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FA"/>
    <w:rsid w:val="001A5A5C"/>
    <w:rsid w:val="001A5BA1"/>
    <w:rsid w:val="001A5CE1"/>
    <w:rsid w:val="001A5F47"/>
    <w:rsid w:val="001A60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1EBD"/>
    <w:rsid w:val="001B2190"/>
    <w:rsid w:val="001B2239"/>
    <w:rsid w:val="001B2268"/>
    <w:rsid w:val="001B2438"/>
    <w:rsid w:val="001B2618"/>
    <w:rsid w:val="001B2958"/>
    <w:rsid w:val="001B2A38"/>
    <w:rsid w:val="001B2CB3"/>
    <w:rsid w:val="001B2D7B"/>
    <w:rsid w:val="001B2F45"/>
    <w:rsid w:val="001B2FC1"/>
    <w:rsid w:val="001B3088"/>
    <w:rsid w:val="001B30D7"/>
    <w:rsid w:val="001B3308"/>
    <w:rsid w:val="001B35EF"/>
    <w:rsid w:val="001B3934"/>
    <w:rsid w:val="001B3B5D"/>
    <w:rsid w:val="001B3C54"/>
    <w:rsid w:val="001B3E4F"/>
    <w:rsid w:val="001B4164"/>
    <w:rsid w:val="001B4403"/>
    <w:rsid w:val="001B444A"/>
    <w:rsid w:val="001B48ED"/>
    <w:rsid w:val="001B4972"/>
    <w:rsid w:val="001B49F8"/>
    <w:rsid w:val="001B4AFA"/>
    <w:rsid w:val="001B5183"/>
    <w:rsid w:val="001B51DA"/>
    <w:rsid w:val="001B52E7"/>
    <w:rsid w:val="001B5641"/>
    <w:rsid w:val="001B5697"/>
    <w:rsid w:val="001B5CFF"/>
    <w:rsid w:val="001B5F0C"/>
    <w:rsid w:val="001B633A"/>
    <w:rsid w:val="001B64BF"/>
    <w:rsid w:val="001B6596"/>
    <w:rsid w:val="001B6669"/>
    <w:rsid w:val="001B673F"/>
    <w:rsid w:val="001B67D8"/>
    <w:rsid w:val="001B6AF4"/>
    <w:rsid w:val="001B7010"/>
    <w:rsid w:val="001B723E"/>
    <w:rsid w:val="001B7323"/>
    <w:rsid w:val="001B7370"/>
    <w:rsid w:val="001B7378"/>
    <w:rsid w:val="001B7398"/>
    <w:rsid w:val="001B749D"/>
    <w:rsid w:val="001B7745"/>
    <w:rsid w:val="001B7747"/>
    <w:rsid w:val="001B7906"/>
    <w:rsid w:val="001B7F8C"/>
    <w:rsid w:val="001B7FAB"/>
    <w:rsid w:val="001C01B7"/>
    <w:rsid w:val="001C04DD"/>
    <w:rsid w:val="001C0516"/>
    <w:rsid w:val="001C06E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79"/>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6AF"/>
    <w:rsid w:val="001C7835"/>
    <w:rsid w:val="001C78FC"/>
    <w:rsid w:val="001C7964"/>
    <w:rsid w:val="001C7980"/>
    <w:rsid w:val="001C7D3C"/>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622"/>
    <w:rsid w:val="001D566B"/>
    <w:rsid w:val="001D5AAD"/>
    <w:rsid w:val="001D5C94"/>
    <w:rsid w:val="001D6045"/>
    <w:rsid w:val="001D62A9"/>
    <w:rsid w:val="001D62FF"/>
    <w:rsid w:val="001D6391"/>
    <w:rsid w:val="001D65DB"/>
    <w:rsid w:val="001D6788"/>
    <w:rsid w:val="001D6C50"/>
    <w:rsid w:val="001D6E2D"/>
    <w:rsid w:val="001D6F3E"/>
    <w:rsid w:val="001D73AF"/>
    <w:rsid w:val="001D74FE"/>
    <w:rsid w:val="001D7630"/>
    <w:rsid w:val="001D769D"/>
    <w:rsid w:val="001D7A50"/>
    <w:rsid w:val="001D7D80"/>
    <w:rsid w:val="001D7E22"/>
    <w:rsid w:val="001E033F"/>
    <w:rsid w:val="001E03CC"/>
    <w:rsid w:val="001E082A"/>
    <w:rsid w:val="001E085D"/>
    <w:rsid w:val="001E1051"/>
    <w:rsid w:val="001E1464"/>
    <w:rsid w:val="001E1F83"/>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DF6"/>
    <w:rsid w:val="001F2E7C"/>
    <w:rsid w:val="001F2F3B"/>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71"/>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3C"/>
    <w:rsid w:val="00212451"/>
    <w:rsid w:val="00212651"/>
    <w:rsid w:val="0021268F"/>
    <w:rsid w:val="002128E8"/>
    <w:rsid w:val="0021294F"/>
    <w:rsid w:val="00212B22"/>
    <w:rsid w:val="00212C47"/>
    <w:rsid w:val="00212DC9"/>
    <w:rsid w:val="0021306A"/>
    <w:rsid w:val="0021324C"/>
    <w:rsid w:val="0021325F"/>
    <w:rsid w:val="00213639"/>
    <w:rsid w:val="002138FA"/>
    <w:rsid w:val="00213AB0"/>
    <w:rsid w:val="00213BDA"/>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0DB"/>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DC"/>
    <w:rsid w:val="00217AE5"/>
    <w:rsid w:val="00217BCD"/>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0E0"/>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BC1"/>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6D7"/>
    <w:rsid w:val="00235763"/>
    <w:rsid w:val="00235B24"/>
    <w:rsid w:val="00235D9E"/>
    <w:rsid w:val="00236149"/>
    <w:rsid w:val="002361CA"/>
    <w:rsid w:val="0023634F"/>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567"/>
    <w:rsid w:val="002475E6"/>
    <w:rsid w:val="00247792"/>
    <w:rsid w:val="00247B1C"/>
    <w:rsid w:val="00247C14"/>
    <w:rsid w:val="00247E38"/>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EA9"/>
    <w:rsid w:val="00251F35"/>
    <w:rsid w:val="002521C5"/>
    <w:rsid w:val="002522BE"/>
    <w:rsid w:val="0025230A"/>
    <w:rsid w:val="00252606"/>
    <w:rsid w:val="00252843"/>
    <w:rsid w:val="00252B9F"/>
    <w:rsid w:val="00252CBD"/>
    <w:rsid w:val="0025337F"/>
    <w:rsid w:val="002534E6"/>
    <w:rsid w:val="0025351C"/>
    <w:rsid w:val="00253919"/>
    <w:rsid w:val="00253A52"/>
    <w:rsid w:val="00253BFD"/>
    <w:rsid w:val="00254246"/>
    <w:rsid w:val="00254331"/>
    <w:rsid w:val="0025468A"/>
    <w:rsid w:val="00254C8E"/>
    <w:rsid w:val="00254C93"/>
    <w:rsid w:val="00254D0A"/>
    <w:rsid w:val="0025506D"/>
    <w:rsid w:val="002552C6"/>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B76"/>
    <w:rsid w:val="00260DC3"/>
    <w:rsid w:val="00260E78"/>
    <w:rsid w:val="002617E4"/>
    <w:rsid w:val="00261A2E"/>
    <w:rsid w:val="00261E15"/>
    <w:rsid w:val="00261E63"/>
    <w:rsid w:val="00262256"/>
    <w:rsid w:val="002625DD"/>
    <w:rsid w:val="002629FB"/>
    <w:rsid w:val="00262A48"/>
    <w:rsid w:val="00262B07"/>
    <w:rsid w:val="00262ECD"/>
    <w:rsid w:val="00263019"/>
    <w:rsid w:val="002631B8"/>
    <w:rsid w:val="00263388"/>
    <w:rsid w:val="002633A5"/>
    <w:rsid w:val="00263ACD"/>
    <w:rsid w:val="00263C1F"/>
    <w:rsid w:val="00263CEB"/>
    <w:rsid w:val="00263DD2"/>
    <w:rsid w:val="00263E67"/>
    <w:rsid w:val="002640A1"/>
    <w:rsid w:val="002648B0"/>
    <w:rsid w:val="00264E6F"/>
    <w:rsid w:val="002650D0"/>
    <w:rsid w:val="0026514D"/>
    <w:rsid w:val="002651D3"/>
    <w:rsid w:val="002653E0"/>
    <w:rsid w:val="002658F7"/>
    <w:rsid w:val="00265D91"/>
    <w:rsid w:val="002661F0"/>
    <w:rsid w:val="002661FF"/>
    <w:rsid w:val="002663F0"/>
    <w:rsid w:val="0026661C"/>
    <w:rsid w:val="00266673"/>
    <w:rsid w:val="00266716"/>
    <w:rsid w:val="002668CB"/>
    <w:rsid w:val="00266E02"/>
    <w:rsid w:val="00266E6B"/>
    <w:rsid w:val="00266EA4"/>
    <w:rsid w:val="0026707F"/>
    <w:rsid w:val="00267174"/>
    <w:rsid w:val="002672C8"/>
    <w:rsid w:val="00267592"/>
    <w:rsid w:val="002675AE"/>
    <w:rsid w:val="00267955"/>
    <w:rsid w:val="00267DBA"/>
    <w:rsid w:val="00267E36"/>
    <w:rsid w:val="00267FC5"/>
    <w:rsid w:val="002701A0"/>
    <w:rsid w:val="002706DC"/>
    <w:rsid w:val="00270CBE"/>
    <w:rsid w:val="00270D02"/>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A1A"/>
    <w:rsid w:val="00274B43"/>
    <w:rsid w:val="00274B6A"/>
    <w:rsid w:val="00274B6D"/>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69"/>
    <w:rsid w:val="002803CD"/>
    <w:rsid w:val="00280419"/>
    <w:rsid w:val="00280601"/>
    <w:rsid w:val="00280862"/>
    <w:rsid w:val="00280C3C"/>
    <w:rsid w:val="00280E07"/>
    <w:rsid w:val="002810FE"/>
    <w:rsid w:val="00281228"/>
    <w:rsid w:val="002815E0"/>
    <w:rsid w:val="0028198A"/>
    <w:rsid w:val="00281F30"/>
    <w:rsid w:val="00281FAD"/>
    <w:rsid w:val="002823BE"/>
    <w:rsid w:val="00282534"/>
    <w:rsid w:val="00282907"/>
    <w:rsid w:val="002829CE"/>
    <w:rsid w:val="00282A03"/>
    <w:rsid w:val="00282B3D"/>
    <w:rsid w:val="00282D90"/>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56D"/>
    <w:rsid w:val="002979E8"/>
    <w:rsid w:val="00297A42"/>
    <w:rsid w:val="00297A4C"/>
    <w:rsid w:val="00297C64"/>
    <w:rsid w:val="00297D26"/>
    <w:rsid w:val="002A04D2"/>
    <w:rsid w:val="002A063E"/>
    <w:rsid w:val="002A0762"/>
    <w:rsid w:val="002A0E29"/>
    <w:rsid w:val="002A10D4"/>
    <w:rsid w:val="002A1340"/>
    <w:rsid w:val="002A19F1"/>
    <w:rsid w:val="002A1C7D"/>
    <w:rsid w:val="002A1CAD"/>
    <w:rsid w:val="002A1D71"/>
    <w:rsid w:val="002A22A1"/>
    <w:rsid w:val="002A23CC"/>
    <w:rsid w:val="002A2461"/>
    <w:rsid w:val="002A24B4"/>
    <w:rsid w:val="002A2637"/>
    <w:rsid w:val="002A267E"/>
    <w:rsid w:val="002A335C"/>
    <w:rsid w:val="002A34BA"/>
    <w:rsid w:val="002A34F2"/>
    <w:rsid w:val="002A3533"/>
    <w:rsid w:val="002A3ABA"/>
    <w:rsid w:val="002A3EC8"/>
    <w:rsid w:val="002A3F96"/>
    <w:rsid w:val="002A403F"/>
    <w:rsid w:val="002A44E2"/>
    <w:rsid w:val="002A450A"/>
    <w:rsid w:val="002A45D8"/>
    <w:rsid w:val="002A4B57"/>
    <w:rsid w:val="002A50D7"/>
    <w:rsid w:val="002A5585"/>
    <w:rsid w:val="002A56A5"/>
    <w:rsid w:val="002A68D6"/>
    <w:rsid w:val="002A696C"/>
    <w:rsid w:val="002A6D2B"/>
    <w:rsid w:val="002A6E5E"/>
    <w:rsid w:val="002A774B"/>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83E"/>
    <w:rsid w:val="002B3BC2"/>
    <w:rsid w:val="002B3E0D"/>
    <w:rsid w:val="002B42DD"/>
    <w:rsid w:val="002B4636"/>
    <w:rsid w:val="002B4D65"/>
    <w:rsid w:val="002B560D"/>
    <w:rsid w:val="002B568E"/>
    <w:rsid w:val="002B583C"/>
    <w:rsid w:val="002B5999"/>
    <w:rsid w:val="002B5BD6"/>
    <w:rsid w:val="002B5C42"/>
    <w:rsid w:val="002B6047"/>
    <w:rsid w:val="002B615C"/>
    <w:rsid w:val="002B6B19"/>
    <w:rsid w:val="002B7006"/>
    <w:rsid w:val="002B727E"/>
    <w:rsid w:val="002B72A6"/>
    <w:rsid w:val="002B72C2"/>
    <w:rsid w:val="002B7945"/>
    <w:rsid w:val="002B7D11"/>
    <w:rsid w:val="002C02B6"/>
    <w:rsid w:val="002C02DA"/>
    <w:rsid w:val="002C039C"/>
    <w:rsid w:val="002C061B"/>
    <w:rsid w:val="002C09D3"/>
    <w:rsid w:val="002C1165"/>
    <w:rsid w:val="002C120F"/>
    <w:rsid w:val="002C1254"/>
    <w:rsid w:val="002C1378"/>
    <w:rsid w:val="002C14FC"/>
    <w:rsid w:val="002C18E0"/>
    <w:rsid w:val="002C1E2D"/>
    <w:rsid w:val="002C1EE4"/>
    <w:rsid w:val="002C1EFE"/>
    <w:rsid w:val="002C1FF8"/>
    <w:rsid w:val="002C22B6"/>
    <w:rsid w:val="002C247F"/>
    <w:rsid w:val="002C2645"/>
    <w:rsid w:val="002C29C8"/>
    <w:rsid w:val="002C2B3A"/>
    <w:rsid w:val="002C2C16"/>
    <w:rsid w:val="002C2C57"/>
    <w:rsid w:val="002C2D40"/>
    <w:rsid w:val="002C2E52"/>
    <w:rsid w:val="002C34EF"/>
    <w:rsid w:val="002C3571"/>
    <w:rsid w:val="002C362D"/>
    <w:rsid w:val="002C3690"/>
    <w:rsid w:val="002C3953"/>
    <w:rsid w:val="002C3ABE"/>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B8"/>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5A"/>
    <w:rsid w:val="002E3263"/>
    <w:rsid w:val="002E3367"/>
    <w:rsid w:val="002E3825"/>
    <w:rsid w:val="002E3E1D"/>
    <w:rsid w:val="002E48FA"/>
    <w:rsid w:val="002E4A04"/>
    <w:rsid w:val="002E4D1F"/>
    <w:rsid w:val="002E508A"/>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2AA"/>
    <w:rsid w:val="002E7555"/>
    <w:rsid w:val="002E7578"/>
    <w:rsid w:val="002E76E2"/>
    <w:rsid w:val="002E78FC"/>
    <w:rsid w:val="002E79C0"/>
    <w:rsid w:val="002E7BE4"/>
    <w:rsid w:val="002F01ED"/>
    <w:rsid w:val="002F04F5"/>
    <w:rsid w:val="002F052A"/>
    <w:rsid w:val="002F0595"/>
    <w:rsid w:val="002F0684"/>
    <w:rsid w:val="002F0DA3"/>
    <w:rsid w:val="002F0F2F"/>
    <w:rsid w:val="002F1121"/>
    <w:rsid w:val="002F11CC"/>
    <w:rsid w:val="002F12D8"/>
    <w:rsid w:val="002F19FC"/>
    <w:rsid w:val="002F1A7A"/>
    <w:rsid w:val="002F1B1B"/>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9B9"/>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BB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A98"/>
    <w:rsid w:val="00306BAC"/>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0F0"/>
    <w:rsid w:val="003131D5"/>
    <w:rsid w:val="003133AF"/>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E88"/>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7CE"/>
    <w:rsid w:val="00326D1B"/>
    <w:rsid w:val="00326EA5"/>
    <w:rsid w:val="00327290"/>
    <w:rsid w:val="003278AF"/>
    <w:rsid w:val="00327C9B"/>
    <w:rsid w:val="00327E83"/>
    <w:rsid w:val="00327F78"/>
    <w:rsid w:val="00330057"/>
    <w:rsid w:val="003302F1"/>
    <w:rsid w:val="0033077D"/>
    <w:rsid w:val="003307F5"/>
    <w:rsid w:val="00330D5E"/>
    <w:rsid w:val="00330F36"/>
    <w:rsid w:val="003316B7"/>
    <w:rsid w:val="00331DE2"/>
    <w:rsid w:val="003324D7"/>
    <w:rsid w:val="00332638"/>
    <w:rsid w:val="00332B10"/>
    <w:rsid w:val="00332B59"/>
    <w:rsid w:val="00332DB3"/>
    <w:rsid w:val="00332DDB"/>
    <w:rsid w:val="003330D4"/>
    <w:rsid w:val="00333461"/>
    <w:rsid w:val="00333471"/>
    <w:rsid w:val="003335C4"/>
    <w:rsid w:val="00333C2E"/>
    <w:rsid w:val="00333DDF"/>
    <w:rsid w:val="00334751"/>
    <w:rsid w:val="003348E4"/>
    <w:rsid w:val="00334901"/>
    <w:rsid w:val="00334B35"/>
    <w:rsid w:val="0033518F"/>
    <w:rsid w:val="00335305"/>
    <w:rsid w:val="003355AE"/>
    <w:rsid w:val="003359D0"/>
    <w:rsid w:val="00335B8A"/>
    <w:rsid w:val="00335D9C"/>
    <w:rsid w:val="00335FD9"/>
    <w:rsid w:val="0033604F"/>
    <w:rsid w:val="00336074"/>
    <w:rsid w:val="00336302"/>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2C82"/>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B4D"/>
    <w:rsid w:val="00345E2E"/>
    <w:rsid w:val="00345EBD"/>
    <w:rsid w:val="0034602B"/>
    <w:rsid w:val="003461B2"/>
    <w:rsid w:val="003463AC"/>
    <w:rsid w:val="003465D9"/>
    <w:rsid w:val="00346C9B"/>
    <w:rsid w:val="00346CFA"/>
    <w:rsid w:val="00346DAA"/>
    <w:rsid w:val="0034700F"/>
    <w:rsid w:val="0034715B"/>
    <w:rsid w:val="00347253"/>
    <w:rsid w:val="003475F9"/>
    <w:rsid w:val="00347652"/>
    <w:rsid w:val="00347979"/>
    <w:rsid w:val="00347B40"/>
    <w:rsid w:val="00347E92"/>
    <w:rsid w:val="00350101"/>
    <w:rsid w:val="003507C4"/>
    <w:rsid w:val="00350A38"/>
    <w:rsid w:val="00350BB3"/>
    <w:rsid w:val="00350BB9"/>
    <w:rsid w:val="00350CC5"/>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C01"/>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F25"/>
    <w:rsid w:val="003721DB"/>
    <w:rsid w:val="003723A2"/>
    <w:rsid w:val="00372478"/>
    <w:rsid w:val="003725AE"/>
    <w:rsid w:val="003727D1"/>
    <w:rsid w:val="003728F7"/>
    <w:rsid w:val="00372BF3"/>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C50"/>
    <w:rsid w:val="00386D1C"/>
    <w:rsid w:val="00386D8C"/>
    <w:rsid w:val="003870EF"/>
    <w:rsid w:val="0038772F"/>
    <w:rsid w:val="003877CD"/>
    <w:rsid w:val="003879FD"/>
    <w:rsid w:val="00387A3C"/>
    <w:rsid w:val="003903C3"/>
    <w:rsid w:val="003903C5"/>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1C5"/>
    <w:rsid w:val="00394346"/>
    <w:rsid w:val="00394E0D"/>
    <w:rsid w:val="00394EA8"/>
    <w:rsid w:val="0039511F"/>
    <w:rsid w:val="0039529D"/>
    <w:rsid w:val="00395308"/>
    <w:rsid w:val="00395898"/>
    <w:rsid w:val="003959CC"/>
    <w:rsid w:val="00395D00"/>
    <w:rsid w:val="00395EE4"/>
    <w:rsid w:val="00396138"/>
    <w:rsid w:val="00396C26"/>
    <w:rsid w:val="0039705C"/>
    <w:rsid w:val="00397362"/>
    <w:rsid w:val="00397602"/>
    <w:rsid w:val="00397684"/>
    <w:rsid w:val="0039790C"/>
    <w:rsid w:val="0039797B"/>
    <w:rsid w:val="00397980"/>
    <w:rsid w:val="00397A79"/>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E24"/>
    <w:rsid w:val="003A6F50"/>
    <w:rsid w:val="003A7152"/>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6F9"/>
    <w:rsid w:val="003B3977"/>
    <w:rsid w:val="003B3CAA"/>
    <w:rsid w:val="003B4E27"/>
    <w:rsid w:val="003B52B6"/>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68"/>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9D"/>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25A"/>
    <w:rsid w:val="003D33EB"/>
    <w:rsid w:val="003D357C"/>
    <w:rsid w:val="003D3672"/>
    <w:rsid w:val="003D3B4F"/>
    <w:rsid w:val="003D3B86"/>
    <w:rsid w:val="003D454B"/>
    <w:rsid w:val="003D45F8"/>
    <w:rsid w:val="003D4692"/>
    <w:rsid w:val="003D485D"/>
    <w:rsid w:val="003D50C3"/>
    <w:rsid w:val="003D52A1"/>
    <w:rsid w:val="003D56D4"/>
    <w:rsid w:val="003D586F"/>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7D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B0C"/>
    <w:rsid w:val="003E2F9F"/>
    <w:rsid w:val="003E334A"/>
    <w:rsid w:val="003E3849"/>
    <w:rsid w:val="003E384C"/>
    <w:rsid w:val="003E3A52"/>
    <w:rsid w:val="003E3D69"/>
    <w:rsid w:val="003E4060"/>
    <w:rsid w:val="003E41CD"/>
    <w:rsid w:val="003E41E1"/>
    <w:rsid w:val="003E44C5"/>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D4"/>
    <w:rsid w:val="003F0938"/>
    <w:rsid w:val="003F0AA0"/>
    <w:rsid w:val="003F0AB9"/>
    <w:rsid w:val="003F0C85"/>
    <w:rsid w:val="003F1327"/>
    <w:rsid w:val="003F16FF"/>
    <w:rsid w:val="003F1B04"/>
    <w:rsid w:val="003F1C5F"/>
    <w:rsid w:val="003F1DB6"/>
    <w:rsid w:val="003F1F48"/>
    <w:rsid w:val="003F200B"/>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C9C"/>
    <w:rsid w:val="00400DAC"/>
    <w:rsid w:val="00400FA6"/>
    <w:rsid w:val="004014EA"/>
    <w:rsid w:val="0040157B"/>
    <w:rsid w:val="00401ACB"/>
    <w:rsid w:val="00401E14"/>
    <w:rsid w:val="0040273B"/>
    <w:rsid w:val="00402771"/>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41B"/>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1268"/>
    <w:rsid w:val="0041126A"/>
    <w:rsid w:val="00411CA0"/>
    <w:rsid w:val="00412884"/>
    <w:rsid w:val="00412A5D"/>
    <w:rsid w:val="00413096"/>
    <w:rsid w:val="0041314F"/>
    <w:rsid w:val="0041344F"/>
    <w:rsid w:val="004136B6"/>
    <w:rsid w:val="004136C8"/>
    <w:rsid w:val="00413811"/>
    <w:rsid w:val="00413B22"/>
    <w:rsid w:val="00413DAD"/>
    <w:rsid w:val="00413DF1"/>
    <w:rsid w:val="00413E9E"/>
    <w:rsid w:val="00414131"/>
    <w:rsid w:val="0041419A"/>
    <w:rsid w:val="004143FC"/>
    <w:rsid w:val="00414836"/>
    <w:rsid w:val="00414A7A"/>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2FB0"/>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0DC"/>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F7C"/>
    <w:rsid w:val="004300E5"/>
    <w:rsid w:val="004300F2"/>
    <w:rsid w:val="0043033E"/>
    <w:rsid w:val="00430AA9"/>
    <w:rsid w:val="00430C5F"/>
    <w:rsid w:val="00430C98"/>
    <w:rsid w:val="004310DF"/>
    <w:rsid w:val="004314B3"/>
    <w:rsid w:val="0043193D"/>
    <w:rsid w:val="00431A52"/>
    <w:rsid w:val="00431C9B"/>
    <w:rsid w:val="00431CAB"/>
    <w:rsid w:val="00431D36"/>
    <w:rsid w:val="0043224A"/>
    <w:rsid w:val="00432458"/>
    <w:rsid w:val="004324C0"/>
    <w:rsid w:val="004326B8"/>
    <w:rsid w:val="00432C04"/>
    <w:rsid w:val="00432F87"/>
    <w:rsid w:val="00433186"/>
    <w:rsid w:val="004335EF"/>
    <w:rsid w:val="004335FB"/>
    <w:rsid w:val="00433804"/>
    <w:rsid w:val="00433AD4"/>
    <w:rsid w:val="00433BCB"/>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753"/>
    <w:rsid w:val="0044489A"/>
    <w:rsid w:val="00444904"/>
    <w:rsid w:val="00444D80"/>
    <w:rsid w:val="00444F2C"/>
    <w:rsid w:val="004453A6"/>
    <w:rsid w:val="00445AA0"/>
    <w:rsid w:val="00445AB7"/>
    <w:rsid w:val="00445BA4"/>
    <w:rsid w:val="00445D29"/>
    <w:rsid w:val="00446295"/>
    <w:rsid w:val="00446341"/>
    <w:rsid w:val="0044634E"/>
    <w:rsid w:val="0044638A"/>
    <w:rsid w:val="004463B0"/>
    <w:rsid w:val="00446415"/>
    <w:rsid w:val="00446870"/>
    <w:rsid w:val="0044701D"/>
    <w:rsid w:val="004470C6"/>
    <w:rsid w:val="00447565"/>
    <w:rsid w:val="004475A3"/>
    <w:rsid w:val="00447662"/>
    <w:rsid w:val="004500C6"/>
    <w:rsid w:val="00450175"/>
    <w:rsid w:val="00450317"/>
    <w:rsid w:val="004503D7"/>
    <w:rsid w:val="004504BB"/>
    <w:rsid w:val="0045054F"/>
    <w:rsid w:val="0045078A"/>
    <w:rsid w:val="004507BE"/>
    <w:rsid w:val="00450CD8"/>
    <w:rsid w:val="00451051"/>
    <w:rsid w:val="00451226"/>
    <w:rsid w:val="0045151A"/>
    <w:rsid w:val="004517C8"/>
    <w:rsid w:val="0045212A"/>
    <w:rsid w:val="00452261"/>
    <w:rsid w:val="004522B2"/>
    <w:rsid w:val="00452322"/>
    <w:rsid w:val="0045235D"/>
    <w:rsid w:val="00452567"/>
    <w:rsid w:val="00452805"/>
    <w:rsid w:val="0045293D"/>
    <w:rsid w:val="00452C49"/>
    <w:rsid w:val="00453067"/>
    <w:rsid w:val="00453244"/>
    <w:rsid w:val="0045331B"/>
    <w:rsid w:val="00453378"/>
    <w:rsid w:val="004537BF"/>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664"/>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27"/>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1E0"/>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389"/>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AA0"/>
    <w:rsid w:val="00482C54"/>
    <w:rsid w:val="0048314E"/>
    <w:rsid w:val="00483320"/>
    <w:rsid w:val="00483752"/>
    <w:rsid w:val="004837A8"/>
    <w:rsid w:val="00483CBD"/>
    <w:rsid w:val="00483CC6"/>
    <w:rsid w:val="00484109"/>
    <w:rsid w:val="00484197"/>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76D"/>
    <w:rsid w:val="004978A4"/>
    <w:rsid w:val="0049794B"/>
    <w:rsid w:val="00497D8D"/>
    <w:rsid w:val="004A01C1"/>
    <w:rsid w:val="004A051A"/>
    <w:rsid w:val="004A061C"/>
    <w:rsid w:val="004A0757"/>
    <w:rsid w:val="004A0B27"/>
    <w:rsid w:val="004A1452"/>
    <w:rsid w:val="004A150D"/>
    <w:rsid w:val="004A1629"/>
    <w:rsid w:val="004A174A"/>
    <w:rsid w:val="004A1766"/>
    <w:rsid w:val="004A191C"/>
    <w:rsid w:val="004A1A5C"/>
    <w:rsid w:val="004A1C13"/>
    <w:rsid w:val="004A1FCE"/>
    <w:rsid w:val="004A202E"/>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662"/>
    <w:rsid w:val="004B4D09"/>
    <w:rsid w:val="004B5093"/>
    <w:rsid w:val="004B5312"/>
    <w:rsid w:val="004B578F"/>
    <w:rsid w:val="004B5AE0"/>
    <w:rsid w:val="004B5B78"/>
    <w:rsid w:val="004B5D91"/>
    <w:rsid w:val="004B5D95"/>
    <w:rsid w:val="004B6250"/>
    <w:rsid w:val="004B643F"/>
    <w:rsid w:val="004B6668"/>
    <w:rsid w:val="004B6849"/>
    <w:rsid w:val="004B687E"/>
    <w:rsid w:val="004B7A86"/>
    <w:rsid w:val="004B7CA5"/>
    <w:rsid w:val="004B7CBD"/>
    <w:rsid w:val="004C002F"/>
    <w:rsid w:val="004C00B9"/>
    <w:rsid w:val="004C015A"/>
    <w:rsid w:val="004C036D"/>
    <w:rsid w:val="004C066C"/>
    <w:rsid w:val="004C0A9B"/>
    <w:rsid w:val="004C0DC5"/>
    <w:rsid w:val="004C0DE1"/>
    <w:rsid w:val="004C0FA4"/>
    <w:rsid w:val="004C1306"/>
    <w:rsid w:val="004C14A9"/>
    <w:rsid w:val="004C1A01"/>
    <w:rsid w:val="004C1A60"/>
    <w:rsid w:val="004C1BD2"/>
    <w:rsid w:val="004C1C2C"/>
    <w:rsid w:val="004C1DC7"/>
    <w:rsid w:val="004C219D"/>
    <w:rsid w:val="004C23C5"/>
    <w:rsid w:val="004C270C"/>
    <w:rsid w:val="004C2B7A"/>
    <w:rsid w:val="004C2B83"/>
    <w:rsid w:val="004C31BA"/>
    <w:rsid w:val="004C31F3"/>
    <w:rsid w:val="004C32EB"/>
    <w:rsid w:val="004C34DF"/>
    <w:rsid w:val="004C34EA"/>
    <w:rsid w:val="004C3902"/>
    <w:rsid w:val="004C3C3B"/>
    <w:rsid w:val="004C40CC"/>
    <w:rsid w:val="004C40E2"/>
    <w:rsid w:val="004C42AE"/>
    <w:rsid w:val="004C4EA2"/>
    <w:rsid w:val="004C55A1"/>
    <w:rsid w:val="004C575F"/>
    <w:rsid w:val="004C5872"/>
    <w:rsid w:val="004C5887"/>
    <w:rsid w:val="004C598E"/>
    <w:rsid w:val="004C5A8F"/>
    <w:rsid w:val="004C5C0F"/>
    <w:rsid w:val="004C5D9D"/>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620"/>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6BC7"/>
    <w:rsid w:val="004D76B4"/>
    <w:rsid w:val="004D7903"/>
    <w:rsid w:val="004D7FDA"/>
    <w:rsid w:val="004E0145"/>
    <w:rsid w:val="004E0231"/>
    <w:rsid w:val="004E0261"/>
    <w:rsid w:val="004E04A6"/>
    <w:rsid w:val="004E062B"/>
    <w:rsid w:val="004E0660"/>
    <w:rsid w:val="004E08C1"/>
    <w:rsid w:val="004E093E"/>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CB4"/>
    <w:rsid w:val="004E3D20"/>
    <w:rsid w:val="004E4008"/>
    <w:rsid w:val="004E4137"/>
    <w:rsid w:val="004E4209"/>
    <w:rsid w:val="004E4320"/>
    <w:rsid w:val="004E451E"/>
    <w:rsid w:val="004E4845"/>
    <w:rsid w:val="004E4B37"/>
    <w:rsid w:val="004E4C76"/>
    <w:rsid w:val="004E4CA2"/>
    <w:rsid w:val="004E4CB2"/>
    <w:rsid w:val="004E4E3B"/>
    <w:rsid w:val="004E5485"/>
    <w:rsid w:val="004E54D1"/>
    <w:rsid w:val="004E56C2"/>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868"/>
    <w:rsid w:val="004F1BD0"/>
    <w:rsid w:val="004F1CFC"/>
    <w:rsid w:val="004F1F94"/>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9D1"/>
    <w:rsid w:val="004F7CAD"/>
    <w:rsid w:val="004F7E8E"/>
    <w:rsid w:val="0050035C"/>
    <w:rsid w:val="00500A3E"/>
    <w:rsid w:val="00500B45"/>
    <w:rsid w:val="00500E44"/>
    <w:rsid w:val="005017C7"/>
    <w:rsid w:val="00501D22"/>
    <w:rsid w:val="00501F79"/>
    <w:rsid w:val="00501F9B"/>
    <w:rsid w:val="005023D1"/>
    <w:rsid w:val="0050275A"/>
    <w:rsid w:val="00502997"/>
    <w:rsid w:val="00502B94"/>
    <w:rsid w:val="00502ECB"/>
    <w:rsid w:val="0050309C"/>
    <w:rsid w:val="005030D4"/>
    <w:rsid w:val="00503182"/>
    <w:rsid w:val="00503308"/>
    <w:rsid w:val="00503AE2"/>
    <w:rsid w:val="00503C8C"/>
    <w:rsid w:val="00503D0E"/>
    <w:rsid w:val="00503D93"/>
    <w:rsid w:val="00503E14"/>
    <w:rsid w:val="0050487D"/>
    <w:rsid w:val="00504DF0"/>
    <w:rsid w:val="00505155"/>
    <w:rsid w:val="00505A3C"/>
    <w:rsid w:val="005066D3"/>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2B2E"/>
    <w:rsid w:val="00513129"/>
    <w:rsid w:val="005131C2"/>
    <w:rsid w:val="0051332D"/>
    <w:rsid w:val="005135F6"/>
    <w:rsid w:val="00513734"/>
    <w:rsid w:val="005137B1"/>
    <w:rsid w:val="005137B4"/>
    <w:rsid w:val="0051398C"/>
    <w:rsid w:val="00513A6F"/>
    <w:rsid w:val="00513C97"/>
    <w:rsid w:val="0051404B"/>
    <w:rsid w:val="00514367"/>
    <w:rsid w:val="0051467E"/>
    <w:rsid w:val="0051487D"/>
    <w:rsid w:val="005149BA"/>
    <w:rsid w:val="00514A64"/>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3C"/>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1CF9"/>
    <w:rsid w:val="005220D2"/>
    <w:rsid w:val="00522400"/>
    <w:rsid w:val="0052253F"/>
    <w:rsid w:val="00522541"/>
    <w:rsid w:val="00522C8F"/>
    <w:rsid w:val="00522DA1"/>
    <w:rsid w:val="0052304D"/>
    <w:rsid w:val="00523150"/>
    <w:rsid w:val="00523251"/>
    <w:rsid w:val="00523368"/>
    <w:rsid w:val="005233A6"/>
    <w:rsid w:val="00523535"/>
    <w:rsid w:val="005236D7"/>
    <w:rsid w:val="00523757"/>
    <w:rsid w:val="00523938"/>
    <w:rsid w:val="005239C2"/>
    <w:rsid w:val="00523B7C"/>
    <w:rsid w:val="00523F7A"/>
    <w:rsid w:val="005245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DCB"/>
    <w:rsid w:val="00531EC4"/>
    <w:rsid w:val="00532080"/>
    <w:rsid w:val="0053237C"/>
    <w:rsid w:val="00532938"/>
    <w:rsid w:val="00532D72"/>
    <w:rsid w:val="00532D91"/>
    <w:rsid w:val="00533063"/>
    <w:rsid w:val="0053360E"/>
    <w:rsid w:val="00533770"/>
    <w:rsid w:val="005337A7"/>
    <w:rsid w:val="00533A13"/>
    <w:rsid w:val="00533A14"/>
    <w:rsid w:val="00533C6B"/>
    <w:rsid w:val="00533D24"/>
    <w:rsid w:val="005342F5"/>
    <w:rsid w:val="00534413"/>
    <w:rsid w:val="00534486"/>
    <w:rsid w:val="00534B3C"/>
    <w:rsid w:val="00534E2F"/>
    <w:rsid w:val="00534E5A"/>
    <w:rsid w:val="005353EE"/>
    <w:rsid w:val="0053546D"/>
    <w:rsid w:val="00535AC2"/>
    <w:rsid w:val="00535E8D"/>
    <w:rsid w:val="00535F78"/>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302"/>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449"/>
    <w:rsid w:val="00561A7D"/>
    <w:rsid w:val="00561E6E"/>
    <w:rsid w:val="00561EBE"/>
    <w:rsid w:val="00561EFC"/>
    <w:rsid w:val="00562317"/>
    <w:rsid w:val="0056232F"/>
    <w:rsid w:val="0056254F"/>
    <w:rsid w:val="005625E7"/>
    <w:rsid w:val="00562620"/>
    <w:rsid w:val="00562652"/>
    <w:rsid w:val="005627F0"/>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200"/>
    <w:rsid w:val="0057348B"/>
    <w:rsid w:val="005734EB"/>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87DFC"/>
    <w:rsid w:val="00587F1E"/>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94F"/>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10"/>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851"/>
    <w:rsid w:val="005B1853"/>
    <w:rsid w:val="005B18D8"/>
    <w:rsid w:val="005B195C"/>
    <w:rsid w:val="005B1B7E"/>
    <w:rsid w:val="005B1BF5"/>
    <w:rsid w:val="005B1D2D"/>
    <w:rsid w:val="005B1E1C"/>
    <w:rsid w:val="005B2535"/>
    <w:rsid w:val="005B2853"/>
    <w:rsid w:val="005B2A0E"/>
    <w:rsid w:val="005B3098"/>
    <w:rsid w:val="005B32B6"/>
    <w:rsid w:val="005B35B9"/>
    <w:rsid w:val="005B3E37"/>
    <w:rsid w:val="005B3EFD"/>
    <w:rsid w:val="005B4262"/>
    <w:rsid w:val="005B43D9"/>
    <w:rsid w:val="005B47C9"/>
    <w:rsid w:val="005B49BE"/>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84"/>
    <w:rsid w:val="005B6BC6"/>
    <w:rsid w:val="005B6BFB"/>
    <w:rsid w:val="005B6C5A"/>
    <w:rsid w:val="005B6E4A"/>
    <w:rsid w:val="005B71ED"/>
    <w:rsid w:val="005B7325"/>
    <w:rsid w:val="005B77F0"/>
    <w:rsid w:val="005B787B"/>
    <w:rsid w:val="005B7D2C"/>
    <w:rsid w:val="005B7EC5"/>
    <w:rsid w:val="005B7F87"/>
    <w:rsid w:val="005C0FEA"/>
    <w:rsid w:val="005C10C3"/>
    <w:rsid w:val="005C116D"/>
    <w:rsid w:val="005C1190"/>
    <w:rsid w:val="005C14B2"/>
    <w:rsid w:val="005C14E3"/>
    <w:rsid w:val="005C16DB"/>
    <w:rsid w:val="005C176B"/>
    <w:rsid w:val="005C17FC"/>
    <w:rsid w:val="005C18AA"/>
    <w:rsid w:val="005C1F21"/>
    <w:rsid w:val="005C285E"/>
    <w:rsid w:val="005C2B2B"/>
    <w:rsid w:val="005C2D9C"/>
    <w:rsid w:val="005C3104"/>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02F"/>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14C"/>
    <w:rsid w:val="005E2257"/>
    <w:rsid w:val="005E2346"/>
    <w:rsid w:val="005E241E"/>
    <w:rsid w:val="005E2582"/>
    <w:rsid w:val="005E2675"/>
    <w:rsid w:val="005E2964"/>
    <w:rsid w:val="005E29AF"/>
    <w:rsid w:val="005E2A5C"/>
    <w:rsid w:val="005E2A6F"/>
    <w:rsid w:val="005E2FB4"/>
    <w:rsid w:val="005E3075"/>
    <w:rsid w:val="005E30AE"/>
    <w:rsid w:val="005E38D0"/>
    <w:rsid w:val="005E3D93"/>
    <w:rsid w:val="005E3EBC"/>
    <w:rsid w:val="005E4E3C"/>
    <w:rsid w:val="005E4F78"/>
    <w:rsid w:val="005E5382"/>
    <w:rsid w:val="005E555E"/>
    <w:rsid w:val="005E56F4"/>
    <w:rsid w:val="005E646D"/>
    <w:rsid w:val="005E6549"/>
    <w:rsid w:val="005E673A"/>
    <w:rsid w:val="005E68E2"/>
    <w:rsid w:val="005E6D56"/>
    <w:rsid w:val="005E6D9F"/>
    <w:rsid w:val="005E6E34"/>
    <w:rsid w:val="005E6E5D"/>
    <w:rsid w:val="005E716D"/>
    <w:rsid w:val="005E7267"/>
    <w:rsid w:val="005E72AD"/>
    <w:rsid w:val="005E74B4"/>
    <w:rsid w:val="005E7588"/>
    <w:rsid w:val="005E76EC"/>
    <w:rsid w:val="005E7759"/>
    <w:rsid w:val="005E78BC"/>
    <w:rsid w:val="005E7A57"/>
    <w:rsid w:val="005E7B65"/>
    <w:rsid w:val="005E7DAC"/>
    <w:rsid w:val="005F00D7"/>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2C3"/>
    <w:rsid w:val="005F5386"/>
    <w:rsid w:val="005F53C3"/>
    <w:rsid w:val="005F55FC"/>
    <w:rsid w:val="005F5607"/>
    <w:rsid w:val="005F5D67"/>
    <w:rsid w:val="005F5EFB"/>
    <w:rsid w:val="005F60E5"/>
    <w:rsid w:val="005F6100"/>
    <w:rsid w:val="005F618F"/>
    <w:rsid w:val="005F6435"/>
    <w:rsid w:val="005F6664"/>
    <w:rsid w:val="005F66E7"/>
    <w:rsid w:val="005F66F0"/>
    <w:rsid w:val="005F67DE"/>
    <w:rsid w:val="005F6A53"/>
    <w:rsid w:val="005F6EA9"/>
    <w:rsid w:val="005F7261"/>
    <w:rsid w:val="005F737A"/>
    <w:rsid w:val="005F744A"/>
    <w:rsid w:val="005F74F5"/>
    <w:rsid w:val="005F756D"/>
    <w:rsid w:val="005F75A2"/>
    <w:rsid w:val="005F78A4"/>
    <w:rsid w:val="005F7C57"/>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7F3"/>
    <w:rsid w:val="0060388E"/>
    <w:rsid w:val="00603932"/>
    <w:rsid w:val="00603BC9"/>
    <w:rsid w:val="00603D00"/>
    <w:rsid w:val="00603D65"/>
    <w:rsid w:val="00604138"/>
    <w:rsid w:val="00604377"/>
    <w:rsid w:val="006048A1"/>
    <w:rsid w:val="00604A7F"/>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18"/>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5E9"/>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523"/>
    <w:rsid w:val="00635602"/>
    <w:rsid w:val="00635BA7"/>
    <w:rsid w:val="00635FBD"/>
    <w:rsid w:val="00635FCA"/>
    <w:rsid w:val="00636495"/>
    <w:rsid w:val="006366F0"/>
    <w:rsid w:val="00636952"/>
    <w:rsid w:val="006369B1"/>
    <w:rsid w:val="00636C60"/>
    <w:rsid w:val="0063717B"/>
    <w:rsid w:val="00637292"/>
    <w:rsid w:val="006374BD"/>
    <w:rsid w:val="00637815"/>
    <w:rsid w:val="006378C3"/>
    <w:rsid w:val="00637F9A"/>
    <w:rsid w:val="00640177"/>
    <w:rsid w:val="0064045F"/>
    <w:rsid w:val="0064050D"/>
    <w:rsid w:val="0064092B"/>
    <w:rsid w:val="00640AB4"/>
    <w:rsid w:val="006416DD"/>
    <w:rsid w:val="0064175A"/>
    <w:rsid w:val="00641AAB"/>
    <w:rsid w:val="00641C6F"/>
    <w:rsid w:val="00641CA2"/>
    <w:rsid w:val="00641CFB"/>
    <w:rsid w:val="00641DE1"/>
    <w:rsid w:val="00641FB1"/>
    <w:rsid w:val="00642285"/>
    <w:rsid w:val="00642618"/>
    <w:rsid w:val="00642662"/>
    <w:rsid w:val="00642948"/>
    <w:rsid w:val="00642E9F"/>
    <w:rsid w:val="00642EB9"/>
    <w:rsid w:val="00643648"/>
    <w:rsid w:val="00643734"/>
    <w:rsid w:val="0064377C"/>
    <w:rsid w:val="00643826"/>
    <w:rsid w:val="00643A26"/>
    <w:rsid w:val="00643A31"/>
    <w:rsid w:val="00643BDA"/>
    <w:rsid w:val="00643C54"/>
    <w:rsid w:val="006441DD"/>
    <w:rsid w:val="006445DC"/>
    <w:rsid w:val="0064468F"/>
    <w:rsid w:val="006447EF"/>
    <w:rsid w:val="0064488B"/>
    <w:rsid w:val="006449EC"/>
    <w:rsid w:val="00644AE0"/>
    <w:rsid w:val="00644EA3"/>
    <w:rsid w:val="00644FD3"/>
    <w:rsid w:val="006457DC"/>
    <w:rsid w:val="00645A7D"/>
    <w:rsid w:val="00645BFB"/>
    <w:rsid w:val="00646311"/>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5AD"/>
    <w:rsid w:val="0065272D"/>
    <w:rsid w:val="00652730"/>
    <w:rsid w:val="00652954"/>
    <w:rsid w:val="00652956"/>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5FF6"/>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DED"/>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4D58"/>
    <w:rsid w:val="00665002"/>
    <w:rsid w:val="006651EE"/>
    <w:rsid w:val="00665422"/>
    <w:rsid w:val="006657ED"/>
    <w:rsid w:val="00665898"/>
    <w:rsid w:val="00665957"/>
    <w:rsid w:val="006659BD"/>
    <w:rsid w:val="00665C5D"/>
    <w:rsid w:val="00666716"/>
    <w:rsid w:val="006668B6"/>
    <w:rsid w:val="006668C2"/>
    <w:rsid w:val="00666909"/>
    <w:rsid w:val="00666946"/>
    <w:rsid w:val="00666A90"/>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683"/>
    <w:rsid w:val="00672B33"/>
    <w:rsid w:val="006732D8"/>
    <w:rsid w:val="00673369"/>
    <w:rsid w:val="006734B8"/>
    <w:rsid w:val="00673501"/>
    <w:rsid w:val="00673929"/>
    <w:rsid w:val="0067397F"/>
    <w:rsid w:val="00673A28"/>
    <w:rsid w:val="00673AAD"/>
    <w:rsid w:val="00673B1F"/>
    <w:rsid w:val="00673B98"/>
    <w:rsid w:val="00673EBE"/>
    <w:rsid w:val="00673EC5"/>
    <w:rsid w:val="00674026"/>
    <w:rsid w:val="00674067"/>
    <w:rsid w:val="00674A63"/>
    <w:rsid w:val="00674B9E"/>
    <w:rsid w:val="00675144"/>
    <w:rsid w:val="00675A0C"/>
    <w:rsid w:val="00676060"/>
    <w:rsid w:val="006761B7"/>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DFF"/>
    <w:rsid w:val="00680F0C"/>
    <w:rsid w:val="006811BB"/>
    <w:rsid w:val="00681465"/>
    <w:rsid w:val="00681645"/>
    <w:rsid w:val="00681826"/>
    <w:rsid w:val="00681CBF"/>
    <w:rsid w:val="00681DE5"/>
    <w:rsid w:val="00681FF2"/>
    <w:rsid w:val="0068223F"/>
    <w:rsid w:val="006823C8"/>
    <w:rsid w:val="00682525"/>
    <w:rsid w:val="0068273B"/>
    <w:rsid w:val="0068287A"/>
    <w:rsid w:val="00683092"/>
    <w:rsid w:val="0068312C"/>
    <w:rsid w:val="00683272"/>
    <w:rsid w:val="0068333D"/>
    <w:rsid w:val="0068347F"/>
    <w:rsid w:val="006834AE"/>
    <w:rsid w:val="006834B8"/>
    <w:rsid w:val="006835E2"/>
    <w:rsid w:val="0068382D"/>
    <w:rsid w:val="00683AA1"/>
    <w:rsid w:val="006840AE"/>
    <w:rsid w:val="006843CB"/>
    <w:rsid w:val="0068455A"/>
    <w:rsid w:val="00684929"/>
    <w:rsid w:val="00684D4D"/>
    <w:rsid w:val="00684F60"/>
    <w:rsid w:val="006850F7"/>
    <w:rsid w:val="00685122"/>
    <w:rsid w:val="0068529E"/>
    <w:rsid w:val="006852F4"/>
    <w:rsid w:val="0068591F"/>
    <w:rsid w:val="00685F16"/>
    <w:rsid w:val="006866BB"/>
    <w:rsid w:val="0068686B"/>
    <w:rsid w:val="00686BE4"/>
    <w:rsid w:val="00687096"/>
    <w:rsid w:val="006873B6"/>
    <w:rsid w:val="00687DC3"/>
    <w:rsid w:val="00687FD5"/>
    <w:rsid w:val="0069002F"/>
    <w:rsid w:val="006900F5"/>
    <w:rsid w:val="006904A8"/>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889"/>
    <w:rsid w:val="00693976"/>
    <w:rsid w:val="00693BAB"/>
    <w:rsid w:val="00693ED3"/>
    <w:rsid w:val="006940A2"/>
    <w:rsid w:val="006947CD"/>
    <w:rsid w:val="00694942"/>
    <w:rsid w:val="00694F03"/>
    <w:rsid w:val="00694F8C"/>
    <w:rsid w:val="00694FD2"/>
    <w:rsid w:val="0069501D"/>
    <w:rsid w:val="00695281"/>
    <w:rsid w:val="00695542"/>
    <w:rsid w:val="006957AD"/>
    <w:rsid w:val="00695987"/>
    <w:rsid w:val="00695BFE"/>
    <w:rsid w:val="00695EB9"/>
    <w:rsid w:val="006960F5"/>
    <w:rsid w:val="006960FC"/>
    <w:rsid w:val="006964BC"/>
    <w:rsid w:val="00696A75"/>
    <w:rsid w:val="00696C45"/>
    <w:rsid w:val="00696E31"/>
    <w:rsid w:val="006970C6"/>
    <w:rsid w:val="0069712C"/>
    <w:rsid w:val="00697184"/>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32F"/>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74"/>
    <w:rsid w:val="006A40E4"/>
    <w:rsid w:val="006A4150"/>
    <w:rsid w:val="006A444D"/>
    <w:rsid w:val="006A45AF"/>
    <w:rsid w:val="006A460D"/>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2D0"/>
    <w:rsid w:val="006B3491"/>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7251"/>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D9C"/>
    <w:rsid w:val="006C1F22"/>
    <w:rsid w:val="006C20CE"/>
    <w:rsid w:val="006C22F4"/>
    <w:rsid w:val="006C29CE"/>
    <w:rsid w:val="006C2D8C"/>
    <w:rsid w:val="006C2FFD"/>
    <w:rsid w:val="006C3100"/>
    <w:rsid w:val="006C337E"/>
    <w:rsid w:val="006C34D2"/>
    <w:rsid w:val="006C3673"/>
    <w:rsid w:val="006C387D"/>
    <w:rsid w:val="006C39D4"/>
    <w:rsid w:val="006C3D77"/>
    <w:rsid w:val="006C400E"/>
    <w:rsid w:val="006C4216"/>
    <w:rsid w:val="006C4619"/>
    <w:rsid w:val="006C5034"/>
    <w:rsid w:val="006C51D6"/>
    <w:rsid w:val="006C57DE"/>
    <w:rsid w:val="006C60ED"/>
    <w:rsid w:val="006C6399"/>
    <w:rsid w:val="006C640B"/>
    <w:rsid w:val="006C652F"/>
    <w:rsid w:val="006C65E2"/>
    <w:rsid w:val="006C6C4B"/>
    <w:rsid w:val="006C6FFD"/>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2D9E"/>
    <w:rsid w:val="006D335B"/>
    <w:rsid w:val="006D33C4"/>
    <w:rsid w:val="006D3CE7"/>
    <w:rsid w:val="006D3F39"/>
    <w:rsid w:val="006D4277"/>
    <w:rsid w:val="006D42CD"/>
    <w:rsid w:val="006D43D9"/>
    <w:rsid w:val="006D452D"/>
    <w:rsid w:val="006D4761"/>
    <w:rsid w:val="006D4781"/>
    <w:rsid w:val="006D491A"/>
    <w:rsid w:val="006D4A09"/>
    <w:rsid w:val="006D4A8A"/>
    <w:rsid w:val="006D4C22"/>
    <w:rsid w:val="006D546B"/>
    <w:rsid w:val="006D5711"/>
    <w:rsid w:val="006D5D95"/>
    <w:rsid w:val="006D60EF"/>
    <w:rsid w:val="006D6325"/>
    <w:rsid w:val="006D6782"/>
    <w:rsid w:val="006D6AD9"/>
    <w:rsid w:val="006D6ADD"/>
    <w:rsid w:val="006D7141"/>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824"/>
    <w:rsid w:val="006E2B1E"/>
    <w:rsid w:val="006E3134"/>
    <w:rsid w:val="006E31DE"/>
    <w:rsid w:val="006E328A"/>
    <w:rsid w:val="006E3530"/>
    <w:rsid w:val="006E3552"/>
    <w:rsid w:val="006E3739"/>
    <w:rsid w:val="006E3A6F"/>
    <w:rsid w:val="006E3BD2"/>
    <w:rsid w:val="006E3DA9"/>
    <w:rsid w:val="006E411F"/>
    <w:rsid w:val="006E47B6"/>
    <w:rsid w:val="006E49F2"/>
    <w:rsid w:val="006E4CD8"/>
    <w:rsid w:val="006E51FC"/>
    <w:rsid w:val="006E5409"/>
    <w:rsid w:val="006E5708"/>
    <w:rsid w:val="006E58AB"/>
    <w:rsid w:val="006E58B6"/>
    <w:rsid w:val="006E59AF"/>
    <w:rsid w:val="006E5A28"/>
    <w:rsid w:val="006E5EDD"/>
    <w:rsid w:val="006E60E7"/>
    <w:rsid w:val="006E67E3"/>
    <w:rsid w:val="006E68C7"/>
    <w:rsid w:val="006E691D"/>
    <w:rsid w:val="006E6A59"/>
    <w:rsid w:val="006E6B5B"/>
    <w:rsid w:val="006E6C3C"/>
    <w:rsid w:val="006E6CA7"/>
    <w:rsid w:val="006E6CDE"/>
    <w:rsid w:val="006E72A9"/>
    <w:rsid w:val="006E7536"/>
    <w:rsid w:val="006E756C"/>
    <w:rsid w:val="006E76E1"/>
    <w:rsid w:val="006E7A80"/>
    <w:rsid w:val="006E7E3C"/>
    <w:rsid w:val="006E7FE2"/>
    <w:rsid w:val="006F004A"/>
    <w:rsid w:val="006F0287"/>
    <w:rsid w:val="006F030D"/>
    <w:rsid w:val="006F08BA"/>
    <w:rsid w:val="006F0BC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4E"/>
    <w:rsid w:val="006F7682"/>
    <w:rsid w:val="006F7755"/>
    <w:rsid w:val="006F79BF"/>
    <w:rsid w:val="006F7BFD"/>
    <w:rsid w:val="006F7C70"/>
    <w:rsid w:val="006F7E05"/>
    <w:rsid w:val="00700ACF"/>
    <w:rsid w:val="00700BAB"/>
    <w:rsid w:val="00700C5F"/>
    <w:rsid w:val="00700F1E"/>
    <w:rsid w:val="007010F1"/>
    <w:rsid w:val="00701174"/>
    <w:rsid w:val="00701543"/>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A"/>
    <w:rsid w:val="00717988"/>
    <w:rsid w:val="00717C67"/>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7E6"/>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984"/>
    <w:rsid w:val="00732E23"/>
    <w:rsid w:val="00732F00"/>
    <w:rsid w:val="0073309C"/>
    <w:rsid w:val="00733752"/>
    <w:rsid w:val="0073382C"/>
    <w:rsid w:val="007338C2"/>
    <w:rsid w:val="007339AE"/>
    <w:rsid w:val="00733B12"/>
    <w:rsid w:val="00733CDB"/>
    <w:rsid w:val="00733CED"/>
    <w:rsid w:val="007343A6"/>
    <w:rsid w:val="00734424"/>
    <w:rsid w:val="007344FA"/>
    <w:rsid w:val="00734B6D"/>
    <w:rsid w:val="00734DD2"/>
    <w:rsid w:val="00734F5E"/>
    <w:rsid w:val="007350BB"/>
    <w:rsid w:val="007353B5"/>
    <w:rsid w:val="007354A9"/>
    <w:rsid w:val="007354FC"/>
    <w:rsid w:val="00735580"/>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962"/>
    <w:rsid w:val="00740EA1"/>
    <w:rsid w:val="007411FF"/>
    <w:rsid w:val="00741927"/>
    <w:rsid w:val="0074192E"/>
    <w:rsid w:val="00741A05"/>
    <w:rsid w:val="00741B76"/>
    <w:rsid w:val="00741E15"/>
    <w:rsid w:val="00741F43"/>
    <w:rsid w:val="00742095"/>
    <w:rsid w:val="00742098"/>
    <w:rsid w:val="00742403"/>
    <w:rsid w:val="00742452"/>
    <w:rsid w:val="00742462"/>
    <w:rsid w:val="0074266A"/>
    <w:rsid w:val="0074278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659"/>
    <w:rsid w:val="0074465C"/>
    <w:rsid w:val="00744883"/>
    <w:rsid w:val="007448A1"/>
    <w:rsid w:val="00744B42"/>
    <w:rsid w:val="00744C8B"/>
    <w:rsid w:val="007452F4"/>
    <w:rsid w:val="00745B8A"/>
    <w:rsid w:val="00745DA0"/>
    <w:rsid w:val="00745E47"/>
    <w:rsid w:val="00746562"/>
    <w:rsid w:val="00746594"/>
    <w:rsid w:val="00746B1D"/>
    <w:rsid w:val="00746CB7"/>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197"/>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CEB"/>
    <w:rsid w:val="00753E22"/>
    <w:rsid w:val="0075419A"/>
    <w:rsid w:val="007543A0"/>
    <w:rsid w:val="0075446B"/>
    <w:rsid w:val="00754491"/>
    <w:rsid w:val="00754575"/>
    <w:rsid w:val="0075512B"/>
    <w:rsid w:val="00755381"/>
    <w:rsid w:val="0075587A"/>
    <w:rsid w:val="007558B5"/>
    <w:rsid w:val="00755A1D"/>
    <w:rsid w:val="00755D9F"/>
    <w:rsid w:val="0075635F"/>
    <w:rsid w:val="00756513"/>
    <w:rsid w:val="00756C14"/>
    <w:rsid w:val="00756C29"/>
    <w:rsid w:val="00756EFE"/>
    <w:rsid w:val="00756F4C"/>
    <w:rsid w:val="00757554"/>
    <w:rsid w:val="0075769C"/>
    <w:rsid w:val="00757A77"/>
    <w:rsid w:val="00757BB2"/>
    <w:rsid w:val="0076017C"/>
    <w:rsid w:val="00760204"/>
    <w:rsid w:val="007602C6"/>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0ED"/>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779"/>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57"/>
    <w:rsid w:val="00781A9D"/>
    <w:rsid w:val="00781AAB"/>
    <w:rsid w:val="00781C0F"/>
    <w:rsid w:val="007821FC"/>
    <w:rsid w:val="007822B9"/>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3111"/>
    <w:rsid w:val="00793270"/>
    <w:rsid w:val="007935DB"/>
    <w:rsid w:val="007939DA"/>
    <w:rsid w:val="00793BFF"/>
    <w:rsid w:val="00793CAD"/>
    <w:rsid w:val="00793E2B"/>
    <w:rsid w:val="00793EAF"/>
    <w:rsid w:val="00793F2A"/>
    <w:rsid w:val="0079416C"/>
    <w:rsid w:val="00794270"/>
    <w:rsid w:val="007942DD"/>
    <w:rsid w:val="00794372"/>
    <w:rsid w:val="007943E4"/>
    <w:rsid w:val="00794508"/>
    <w:rsid w:val="00794533"/>
    <w:rsid w:val="00794598"/>
    <w:rsid w:val="00794B5D"/>
    <w:rsid w:val="00794D52"/>
    <w:rsid w:val="00795425"/>
    <w:rsid w:val="00795AF6"/>
    <w:rsid w:val="00795CBA"/>
    <w:rsid w:val="00795DCC"/>
    <w:rsid w:val="00795E08"/>
    <w:rsid w:val="007965CE"/>
    <w:rsid w:val="00796CA3"/>
    <w:rsid w:val="00796D3F"/>
    <w:rsid w:val="00796DD1"/>
    <w:rsid w:val="00796E4B"/>
    <w:rsid w:val="00796F2E"/>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2AD"/>
    <w:rsid w:val="007A12FE"/>
    <w:rsid w:val="007A1D94"/>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6CEF"/>
    <w:rsid w:val="007A7A76"/>
    <w:rsid w:val="007A7B1D"/>
    <w:rsid w:val="007A7EFF"/>
    <w:rsid w:val="007B0405"/>
    <w:rsid w:val="007B044A"/>
    <w:rsid w:val="007B05E4"/>
    <w:rsid w:val="007B0DBB"/>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8BC"/>
    <w:rsid w:val="007B4C4A"/>
    <w:rsid w:val="007B5407"/>
    <w:rsid w:val="007B5650"/>
    <w:rsid w:val="007B5862"/>
    <w:rsid w:val="007B5B1B"/>
    <w:rsid w:val="007B5F4A"/>
    <w:rsid w:val="007B6146"/>
    <w:rsid w:val="007B63BB"/>
    <w:rsid w:val="007B6466"/>
    <w:rsid w:val="007B6606"/>
    <w:rsid w:val="007B666A"/>
    <w:rsid w:val="007B6A74"/>
    <w:rsid w:val="007B6ABF"/>
    <w:rsid w:val="007B6B07"/>
    <w:rsid w:val="007B6BAB"/>
    <w:rsid w:val="007B6C07"/>
    <w:rsid w:val="007B6CD0"/>
    <w:rsid w:val="007B71C0"/>
    <w:rsid w:val="007B71D2"/>
    <w:rsid w:val="007B7293"/>
    <w:rsid w:val="007B744E"/>
    <w:rsid w:val="007B7570"/>
    <w:rsid w:val="007B75C8"/>
    <w:rsid w:val="007B77FE"/>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A42"/>
    <w:rsid w:val="007C1A45"/>
    <w:rsid w:val="007C1B37"/>
    <w:rsid w:val="007C207E"/>
    <w:rsid w:val="007C2374"/>
    <w:rsid w:val="007C2860"/>
    <w:rsid w:val="007C2BC3"/>
    <w:rsid w:val="007C2D58"/>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94F"/>
    <w:rsid w:val="007C5AD0"/>
    <w:rsid w:val="007C5AE9"/>
    <w:rsid w:val="007C6284"/>
    <w:rsid w:val="007C6401"/>
    <w:rsid w:val="007C6608"/>
    <w:rsid w:val="007C66CB"/>
    <w:rsid w:val="007C673B"/>
    <w:rsid w:val="007C6D2F"/>
    <w:rsid w:val="007C6D67"/>
    <w:rsid w:val="007C7095"/>
    <w:rsid w:val="007C720A"/>
    <w:rsid w:val="007C7465"/>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2218"/>
    <w:rsid w:val="007D22E3"/>
    <w:rsid w:val="007D23A5"/>
    <w:rsid w:val="007D25DF"/>
    <w:rsid w:val="007D25F4"/>
    <w:rsid w:val="007D2874"/>
    <w:rsid w:val="007D2B0A"/>
    <w:rsid w:val="007D2CEA"/>
    <w:rsid w:val="007D2E8D"/>
    <w:rsid w:val="007D2FA2"/>
    <w:rsid w:val="007D3246"/>
    <w:rsid w:val="007D3278"/>
    <w:rsid w:val="007D3355"/>
    <w:rsid w:val="007D3373"/>
    <w:rsid w:val="007D357A"/>
    <w:rsid w:val="007D3ACF"/>
    <w:rsid w:val="007D3BAE"/>
    <w:rsid w:val="007D3C46"/>
    <w:rsid w:val="007D3CC1"/>
    <w:rsid w:val="007D43F8"/>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123"/>
    <w:rsid w:val="007E0290"/>
    <w:rsid w:val="007E0497"/>
    <w:rsid w:val="007E086F"/>
    <w:rsid w:val="007E0BB8"/>
    <w:rsid w:val="007E0DB4"/>
    <w:rsid w:val="007E0EEC"/>
    <w:rsid w:val="007E0F71"/>
    <w:rsid w:val="007E14ED"/>
    <w:rsid w:val="007E16C8"/>
    <w:rsid w:val="007E1A17"/>
    <w:rsid w:val="007E1A5B"/>
    <w:rsid w:val="007E1D6E"/>
    <w:rsid w:val="007E1E1E"/>
    <w:rsid w:val="007E1E83"/>
    <w:rsid w:val="007E22BF"/>
    <w:rsid w:val="007E24C9"/>
    <w:rsid w:val="007E29F8"/>
    <w:rsid w:val="007E2CB4"/>
    <w:rsid w:val="007E2F3C"/>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28D"/>
    <w:rsid w:val="007E5438"/>
    <w:rsid w:val="007E5947"/>
    <w:rsid w:val="007E59A6"/>
    <w:rsid w:val="007E608F"/>
    <w:rsid w:val="007E6174"/>
    <w:rsid w:val="007E66F9"/>
    <w:rsid w:val="007E66FE"/>
    <w:rsid w:val="007E6AE0"/>
    <w:rsid w:val="007E6B87"/>
    <w:rsid w:val="007E6D4E"/>
    <w:rsid w:val="007E7037"/>
    <w:rsid w:val="007E703E"/>
    <w:rsid w:val="007E71F3"/>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2B03"/>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5FCC"/>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79B"/>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968"/>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B93"/>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180"/>
    <w:rsid w:val="0082052E"/>
    <w:rsid w:val="008205B8"/>
    <w:rsid w:val="008207F6"/>
    <w:rsid w:val="00820FAD"/>
    <w:rsid w:val="00821622"/>
    <w:rsid w:val="008217E8"/>
    <w:rsid w:val="0082181C"/>
    <w:rsid w:val="00821B30"/>
    <w:rsid w:val="0082203E"/>
    <w:rsid w:val="008223F1"/>
    <w:rsid w:val="0082252D"/>
    <w:rsid w:val="0082261C"/>
    <w:rsid w:val="00822633"/>
    <w:rsid w:val="00822794"/>
    <w:rsid w:val="00822843"/>
    <w:rsid w:val="008229F4"/>
    <w:rsid w:val="00822B3F"/>
    <w:rsid w:val="00822B54"/>
    <w:rsid w:val="00822D19"/>
    <w:rsid w:val="00823024"/>
    <w:rsid w:val="008234E8"/>
    <w:rsid w:val="00823618"/>
    <w:rsid w:val="008237B3"/>
    <w:rsid w:val="00823A00"/>
    <w:rsid w:val="00823A6E"/>
    <w:rsid w:val="00823DCC"/>
    <w:rsid w:val="00823EE2"/>
    <w:rsid w:val="008241E1"/>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1A"/>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37948"/>
    <w:rsid w:val="0084000D"/>
    <w:rsid w:val="00840019"/>
    <w:rsid w:val="008403DD"/>
    <w:rsid w:val="00840ACA"/>
    <w:rsid w:val="008411DD"/>
    <w:rsid w:val="0084165D"/>
    <w:rsid w:val="008416C7"/>
    <w:rsid w:val="0084170A"/>
    <w:rsid w:val="00841732"/>
    <w:rsid w:val="00841E16"/>
    <w:rsid w:val="00841F7B"/>
    <w:rsid w:val="008420F4"/>
    <w:rsid w:val="00842107"/>
    <w:rsid w:val="008421E4"/>
    <w:rsid w:val="008423E9"/>
    <w:rsid w:val="008423F5"/>
    <w:rsid w:val="008427B1"/>
    <w:rsid w:val="008428C5"/>
    <w:rsid w:val="00842B62"/>
    <w:rsid w:val="00842C5F"/>
    <w:rsid w:val="00842F05"/>
    <w:rsid w:val="008430F3"/>
    <w:rsid w:val="0084314D"/>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9C3"/>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95C"/>
    <w:rsid w:val="00855AF6"/>
    <w:rsid w:val="00855B98"/>
    <w:rsid w:val="00855C9B"/>
    <w:rsid w:val="00855E4F"/>
    <w:rsid w:val="008563B2"/>
    <w:rsid w:val="008563D7"/>
    <w:rsid w:val="00856411"/>
    <w:rsid w:val="00856694"/>
    <w:rsid w:val="00856802"/>
    <w:rsid w:val="008569BD"/>
    <w:rsid w:val="00856CCB"/>
    <w:rsid w:val="00856D9A"/>
    <w:rsid w:val="00856E45"/>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0D"/>
    <w:rsid w:val="008678CB"/>
    <w:rsid w:val="0086798E"/>
    <w:rsid w:val="00867A40"/>
    <w:rsid w:val="00867D47"/>
    <w:rsid w:val="00867F36"/>
    <w:rsid w:val="008704E1"/>
    <w:rsid w:val="00870980"/>
    <w:rsid w:val="00870B0D"/>
    <w:rsid w:val="00870B5F"/>
    <w:rsid w:val="00870B87"/>
    <w:rsid w:val="00870DF9"/>
    <w:rsid w:val="00870F0D"/>
    <w:rsid w:val="008714BE"/>
    <w:rsid w:val="008714E3"/>
    <w:rsid w:val="0087173A"/>
    <w:rsid w:val="00871A2F"/>
    <w:rsid w:val="00871AAF"/>
    <w:rsid w:val="00871D1E"/>
    <w:rsid w:val="00871DD2"/>
    <w:rsid w:val="00872311"/>
    <w:rsid w:val="00872341"/>
    <w:rsid w:val="00872A32"/>
    <w:rsid w:val="00872C56"/>
    <w:rsid w:val="00872D1A"/>
    <w:rsid w:val="00872D94"/>
    <w:rsid w:val="008732C9"/>
    <w:rsid w:val="00873312"/>
    <w:rsid w:val="008734C9"/>
    <w:rsid w:val="008734CB"/>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7E5"/>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87CEA"/>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A6F"/>
    <w:rsid w:val="008A0F77"/>
    <w:rsid w:val="008A0F93"/>
    <w:rsid w:val="008A1298"/>
    <w:rsid w:val="008A16D6"/>
    <w:rsid w:val="008A17C5"/>
    <w:rsid w:val="008A18A2"/>
    <w:rsid w:val="008A1A7C"/>
    <w:rsid w:val="008A1BD7"/>
    <w:rsid w:val="008A1C4D"/>
    <w:rsid w:val="008A1D7A"/>
    <w:rsid w:val="008A1FE6"/>
    <w:rsid w:val="008A21DF"/>
    <w:rsid w:val="008A2253"/>
    <w:rsid w:val="008A2256"/>
    <w:rsid w:val="008A250E"/>
    <w:rsid w:val="008A2CCC"/>
    <w:rsid w:val="008A2FBA"/>
    <w:rsid w:val="008A3174"/>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32"/>
    <w:rsid w:val="008A5ECB"/>
    <w:rsid w:val="008A6219"/>
    <w:rsid w:val="008A6369"/>
    <w:rsid w:val="008A6442"/>
    <w:rsid w:val="008A6491"/>
    <w:rsid w:val="008A671E"/>
    <w:rsid w:val="008A6731"/>
    <w:rsid w:val="008A6B37"/>
    <w:rsid w:val="008A6E1B"/>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2E75"/>
    <w:rsid w:val="008C3065"/>
    <w:rsid w:val="008C3279"/>
    <w:rsid w:val="008C3E32"/>
    <w:rsid w:val="008C3FF6"/>
    <w:rsid w:val="008C4839"/>
    <w:rsid w:val="008C4938"/>
    <w:rsid w:val="008C4EC5"/>
    <w:rsid w:val="008C4F4C"/>
    <w:rsid w:val="008C5341"/>
    <w:rsid w:val="008C58D7"/>
    <w:rsid w:val="008C594D"/>
    <w:rsid w:val="008C59B9"/>
    <w:rsid w:val="008C5AF6"/>
    <w:rsid w:val="008C5F2E"/>
    <w:rsid w:val="008C6058"/>
    <w:rsid w:val="008C6158"/>
    <w:rsid w:val="008C66BF"/>
    <w:rsid w:val="008C6C55"/>
    <w:rsid w:val="008C6D1C"/>
    <w:rsid w:val="008C6D4F"/>
    <w:rsid w:val="008C70AD"/>
    <w:rsid w:val="008C7405"/>
    <w:rsid w:val="008C7535"/>
    <w:rsid w:val="008C76E0"/>
    <w:rsid w:val="008C7A60"/>
    <w:rsid w:val="008C7D55"/>
    <w:rsid w:val="008C7F10"/>
    <w:rsid w:val="008C7F4D"/>
    <w:rsid w:val="008D0688"/>
    <w:rsid w:val="008D0700"/>
    <w:rsid w:val="008D0FEB"/>
    <w:rsid w:val="008D1180"/>
    <w:rsid w:val="008D11D3"/>
    <w:rsid w:val="008D184B"/>
    <w:rsid w:val="008D1CFE"/>
    <w:rsid w:val="008D1E12"/>
    <w:rsid w:val="008D1E5C"/>
    <w:rsid w:val="008D1F34"/>
    <w:rsid w:val="008D20A8"/>
    <w:rsid w:val="008D276E"/>
    <w:rsid w:val="008D3083"/>
    <w:rsid w:val="008D35C9"/>
    <w:rsid w:val="008D3DE5"/>
    <w:rsid w:val="008D4049"/>
    <w:rsid w:val="008D459B"/>
    <w:rsid w:val="008D49C0"/>
    <w:rsid w:val="008D4A14"/>
    <w:rsid w:val="008D4AAF"/>
    <w:rsid w:val="008D4B96"/>
    <w:rsid w:val="008D4BFB"/>
    <w:rsid w:val="008D4C85"/>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6D6"/>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5C"/>
    <w:rsid w:val="008E7CB9"/>
    <w:rsid w:val="008E7D63"/>
    <w:rsid w:val="008E7D8C"/>
    <w:rsid w:val="008E7DFA"/>
    <w:rsid w:val="008F0298"/>
    <w:rsid w:val="008F05FB"/>
    <w:rsid w:val="008F07A8"/>
    <w:rsid w:val="008F0847"/>
    <w:rsid w:val="008F093D"/>
    <w:rsid w:val="008F0E9E"/>
    <w:rsid w:val="008F11C6"/>
    <w:rsid w:val="008F14B1"/>
    <w:rsid w:val="008F1888"/>
    <w:rsid w:val="008F1BA6"/>
    <w:rsid w:val="008F210B"/>
    <w:rsid w:val="008F22B5"/>
    <w:rsid w:val="008F22C0"/>
    <w:rsid w:val="008F29F7"/>
    <w:rsid w:val="008F2EAA"/>
    <w:rsid w:val="008F3218"/>
    <w:rsid w:val="008F3696"/>
    <w:rsid w:val="008F3977"/>
    <w:rsid w:val="008F397D"/>
    <w:rsid w:val="008F3A38"/>
    <w:rsid w:val="008F3B83"/>
    <w:rsid w:val="008F3D83"/>
    <w:rsid w:val="008F4541"/>
    <w:rsid w:val="008F477F"/>
    <w:rsid w:val="008F48CC"/>
    <w:rsid w:val="008F4DA9"/>
    <w:rsid w:val="008F522D"/>
    <w:rsid w:val="008F5605"/>
    <w:rsid w:val="008F563E"/>
    <w:rsid w:val="008F56B3"/>
    <w:rsid w:val="008F591D"/>
    <w:rsid w:val="008F5938"/>
    <w:rsid w:val="008F594E"/>
    <w:rsid w:val="008F5986"/>
    <w:rsid w:val="008F5B38"/>
    <w:rsid w:val="008F5CD4"/>
    <w:rsid w:val="008F5ED5"/>
    <w:rsid w:val="008F694A"/>
    <w:rsid w:val="008F69D0"/>
    <w:rsid w:val="008F6BD4"/>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4EB7"/>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C92"/>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814"/>
    <w:rsid w:val="00921B8A"/>
    <w:rsid w:val="009220CC"/>
    <w:rsid w:val="009228DC"/>
    <w:rsid w:val="009228DD"/>
    <w:rsid w:val="00922982"/>
    <w:rsid w:val="00922B54"/>
    <w:rsid w:val="00922E7D"/>
    <w:rsid w:val="00922EFB"/>
    <w:rsid w:val="009231A0"/>
    <w:rsid w:val="009231C2"/>
    <w:rsid w:val="00923250"/>
    <w:rsid w:val="00923489"/>
    <w:rsid w:val="00923667"/>
    <w:rsid w:val="00923CE0"/>
    <w:rsid w:val="00923EDA"/>
    <w:rsid w:val="009243AB"/>
    <w:rsid w:val="0092461A"/>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3D8D"/>
    <w:rsid w:val="00934643"/>
    <w:rsid w:val="00934780"/>
    <w:rsid w:val="009348A1"/>
    <w:rsid w:val="009349E0"/>
    <w:rsid w:val="00934B1C"/>
    <w:rsid w:val="00934C7A"/>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6BC"/>
    <w:rsid w:val="00940864"/>
    <w:rsid w:val="0094086E"/>
    <w:rsid w:val="00940B41"/>
    <w:rsid w:val="00940BB0"/>
    <w:rsid w:val="00940BD8"/>
    <w:rsid w:val="00940BE7"/>
    <w:rsid w:val="00940DB8"/>
    <w:rsid w:val="00940DD4"/>
    <w:rsid w:val="00940E63"/>
    <w:rsid w:val="00941155"/>
    <w:rsid w:val="0094162D"/>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23"/>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88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912"/>
    <w:rsid w:val="00987AE8"/>
    <w:rsid w:val="00987FE1"/>
    <w:rsid w:val="00990339"/>
    <w:rsid w:val="0099046B"/>
    <w:rsid w:val="00990C29"/>
    <w:rsid w:val="00991106"/>
    <w:rsid w:val="0099113E"/>
    <w:rsid w:val="009915F0"/>
    <w:rsid w:val="0099175A"/>
    <w:rsid w:val="00991819"/>
    <w:rsid w:val="0099194C"/>
    <w:rsid w:val="00991974"/>
    <w:rsid w:val="00991AAE"/>
    <w:rsid w:val="0099210A"/>
    <w:rsid w:val="0099260D"/>
    <w:rsid w:val="0099282F"/>
    <w:rsid w:val="00992AEB"/>
    <w:rsid w:val="00992B7B"/>
    <w:rsid w:val="00992CF3"/>
    <w:rsid w:val="00992D7D"/>
    <w:rsid w:val="00992ECB"/>
    <w:rsid w:val="00992F00"/>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E3"/>
    <w:rsid w:val="009A3C35"/>
    <w:rsid w:val="009A44A9"/>
    <w:rsid w:val="009A44DF"/>
    <w:rsid w:val="009A49EA"/>
    <w:rsid w:val="009A4BDC"/>
    <w:rsid w:val="009A4D1C"/>
    <w:rsid w:val="009A4F7F"/>
    <w:rsid w:val="009A519B"/>
    <w:rsid w:val="009A5411"/>
    <w:rsid w:val="009A5789"/>
    <w:rsid w:val="009A59E0"/>
    <w:rsid w:val="009A5AF3"/>
    <w:rsid w:val="009A6428"/>
    <w:rsid w:val="009A6739"/>
    <w:rsid w:val="009A69FB"/>
    <w:rsid w:val="009A6A3D"/>
    <w:rsid w:val="009A6D70"/>
    <w:rsid w:val="009A6E7D"/>
    <w:rsid w:val="009A71A4"/>
    <w:rsid w:val="009A78ED"/>
    <w:rsid w:val="009A7B00"/>
    <w:rsid w:val="009A7BC0"/>
    <w:rsid w:val="009A7CB0"/>
    <w:rsid w:val="009B03AF"/>
    <w:rsid w:val="009B0549"/>
    <w:rsid w:val="009B0731"/>
    <w:rsid w:val="009B07FD"/>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961"/>
    <w:rsid w:val="009B2C96"/>
    <w:rsid w:val="009B33CF"/>
    <w:rsid w:val="009B36CB"/>
    <w:rsid w:val="009B38BB"/>
    <w:rsid w:val="009B40D0"/>
    <w:rsid w:val="009B4139"/>
    <w:rsid w:val="009B420B"/>
    <w:rsid w:val="009B4310"/>
    <w:rsid w:val="009B4581"/>
    <w:rsid w:val="009B4630"/>
    <w:rsid w:val="009B46FB"/>
    <w:rsid w:val="009B4897"/>
    <w:rsid w:val="009B4AD7"/>
    <w:rsid w:val="009B4C72"/>
    <w:rsid w:val="009B4CB4"/>
    <w:rsid w:val="009B508A"/>
    <w:rsid w:val="009B51C7"/>
    <w:rsid w:val="009B521C"/>
    <w:rsid w:val="009B5328"/>
    <w:rsid w:val="009B5413"/>
    <w:rsid w:val="009B542C"/>
    <w:rsid w:val="009B5489"/>
    <w:rsid w:val="009B55BE"/>
    <w:rsid w:val="009B5A06"/>
    <w:rsid w:val="009B5AED"/>
    <w:rsid w:val="009B5B1E"/>
    <w:rsid w:val="009B5E84"/>
    <w:rsid w:val="009B62B7"/>
    <w:rsid w:val="009B634C"/>
    <w:rsid w:val="009B6561"/>
    <w:rsid w:val="009B6571"/>
    <w:rsid w:val="009B662E"/>
    <w:rsid w:val="009B6750"/>
    <w:rsid w:val="009B6AFB"/>
    <w:rsid w:val="009B6C12"/>
    <w:rsid w:val="009B6CD8"/>
    <w:rsid w:val="009B7021"/>
    <w:rsid w:val="009B714E"/>
    <w:rsid w:val="009B7C47"/>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3E9"/>
    <w:rsid w:val="009C458C"/>
    <w:rsid w:val="009C458E"/>
    <w:rsid w:val="009C45D5"/>
    <w:rsid w:val="009C4A36"/>
    <w:rsid w:val="009C4D99"/>
    <w:rsid w:val="009C4DFF"/>
    <w:rsid w:val="009C4F66"/>
    <w:rsid w:val="009C519E"/>
    <w:rsid w:val="009C52CB"/>
    <w:rsid w:val="009C5553"/>
    <w:rsid w:val="009C5587"/>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14"/>
    <w:rsid w:val="009D229B"/>
    <w:rsid w:val="009D237E"/>
    <w:rsid w:val="009D24BA"/>
    <w:rsid w:val="009D2576"/>
    <w:rsid w:val="009D26DF"/>
    <w:rsid w:val="009D27F1"/>
    <w:rsid w:val="009D2BAB"/>
    <w:rsid w:val="009D2BC2"/>
    <w:rsid w:val="009D2CEA"/>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CDB"/>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542D"/>
    <w:rsid w:val="009E555F"/>
    <w:rsid w:val="009E58C7"/>
    <w:rsid w:val="009E58EA"/>
    <w:rsid w:val="009E5B64"/>
    <w:rsid w:val="009E5B6D"/>
    <w:rsid w:val="009E5B77"/>
    <w:rsid w:val="009E66EC"/>
    <w:rsid w:val="009E6951"/>
    <w:rsid w:val="009E6A97"/>
    <w:rsid w:val="009E6A99"/>
    <w:rsid w:val="009E6D81"/>
    <w:rsid w:val="009E7244"/>
    <w:rsid w:val="009E7325"/>
    <w:rsid w:val="009E75C1"/>
    <w:rsid w:val="009E775E"/>
    <w:rsid w:val="009F0716"/>
    <w:rsid w:val="009F08C2"/>
    <w:rsid w:val="009F0961"/>
    <w:rsid w:val="009F0B9F"/>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4A7"/>
    <w:rsid w:val="00A0468B"/>
    <w:rsid w:val="00A0492A"/>
    <w:rsid w:val="00A05340"/>
    <w:rsid w:val="00A0568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4FB2"/>
    <w:rsid w:val="00A15156"/>
    <w:rsid w:val="00A1517D"/>
    <w:rsid w:val="00A152C6"/>
    <w:rsid w:val="00A15678"/>
    <w:rsid w:val="00A1573B"/>
    <w:rsid w:val="00A15800"/>
    <w:rsid w:val="00A15910"/>
    <w:rsid w:val="00A15B6B"/>
    <w:rsid w:val="00A15C86"/>
    <w:rsid w:val="00A16372"/>
    <w:rsid w:val="00A1641D"/>
    <w:rsid w:val="00A16806"/>
    <w:rsid w:val="00A16975"/>
    <w:rsid w:val="00A16B00"/>
    <w:rsid w:val="00A16CA6"/>
    <w:rsid w:val="00A17155"/>
    <w:rsid w:val="00A17248"/>
    <w:rsid w:val="00A1737D"/>
    <w:rsid w:val="00A17A17"/>
    <w:rsid w:val="00A17BC5"/>
    <w:rsid w:val="00A17CA2"/>
    <w:rsid w:val="00A17D1B"/>
    <w:rsid w:val="00A17E6E"/>
    <w:rsid w:val="00A20A96"/>
    <w:rsid w:val="00A20C2E"/>
    <w:rsid w:val="00A21215"/>
    <w:rsid w:val="00A2129C"/>
    <w:rsid w:val="00A213E2"/>
    <w:rsid w:val="00A217A0"/>
    <w:rsid w:val="00A21A98"/>
    <w:rsid w:val="00A21EF6"/>
    <w:rsid w:val="00A22476"/>
    <w:rsid w:val="00A226BC"/>
    <w:rsid w:val="00A22B5E"/>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50A"/>
    <w:rsid w:val="00A24961"/>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858"/>
    <w:rsid w:val="00A2797F"/>
    <w:rsid w:val="00A3070D"/>
    <w:rsid w:val="00A3087D"/>
    <w:rsid w:val="00A3108B"/>
    <w:rsid w:val="00A3112D"/>
    <w:rsid w:val="00A311D8"/>
    <w:rsid w:val="00A3120C"/>
    <w:rsid w:val="00A3131A"/>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76B"/>
    <w:rsid w:val="00A379BE"/>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80F"/>
    <w:rsid w:val="00A4199D"/>
    <w:rsid w:val="00A419BE"/>
    <w:rsid w:val="00A41CD1"/>
    <w:rsid w:val="00A41EFC"/>
    <w:rsid w:val="00A42764"/>
    <w:rsid w:val="00A428E5"/>
    <w:rsid w:val="00A42956"/>
    <w:rsid w:val="00A429C8"/>
    <w:rsid w:val="00A42A25"/>
    <w:rsid w:val="00A42C15"/>
    <w:rsid w:val="00A431F8"/>
    <w:rsid w:val="00A43212"/>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267"/>
    <w:rsid w:val="00A4636E"/>
    <w:rsid w:val="00A4646E"/>
    <w:rsid w:val="00A464C1"/>
    <w:rsid w:val="00A46638"/>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557"/>
    <w:rsid w:val="00A5679F"/>
    <w:rsid w:val="00A56827"/>
    <w:rsid w:val="00A56A10"/>
    <w:rsid w:val="00A56FAB"/>
    <w:rsid w:val="00A571B2"/>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C4"/>
    <w:rsid w:val="00A62A0F"/>
    <w:rsid w:val="00A62A3E"/>
    <w:rsid w:val="00A62C6C"/>
    <w:rsid w:val="00A62EA4"/>
    <w:rsid w:val="00A6312C"/>
    <w:rsid w:val="00A631D8"/>
    <w:rsid w:val="00A6324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0EB"/>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516"/>
    <w:rsid w:val="00A726C7"/>
    <w:rsid w:val="00A726D8"/>
    <w:rsid w:val="00A72860"/>
    <w:rsid w:val="00A72946"/>
    <w:rsid w:val="00A72B06"/>
    <w:rsid w:val="00A72BF6"/>
    <w:rsid w:val="00A72F83"/>
    <w:rsid w:val="00A72FBC"/>
    <w:rsid w:val="00A73139"/>
    <w:rsid w:val="00A7315C"/>
    <w:rsid w:val="00A7351B"/>
    <w:rsid w:val="00A735BD"/>
    <w:rsid w:val="00A73766"/>
    <w:rsid w:val="00A7390C"/>
    <w:rsid w:val="00A739B3"/>
    <w:rsid w:val="00A73F9A"/>
    <w:rsid w:val="00A745D7"/>
    <w:rsid w:val="00A749A0"/>
    <w:rsid w:val="00A74BA8"/>
    <w:rsid w:val="00A74BF4"/>
    <w:rsid w:val="00A74CCA"/>
    <w:rsid w:val="00A74D6D"/>
    <w:rsid w:val="00A75111"/>
    <w:rsid w:val="00A75431"/>
    <w:rsid w:val="00A756D7"/>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07A"/>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507E"/>
    <w:rsid w:val="00A854CF"/>
    <w:rsid w:val="00A85655"/>
    <w:rsid w:val="00A85892"/>
    <w:rsid w:val="00A85CE6"/>
    <w:rsid w:val="00A85CFD"/>
    <w:rsid w:val="00A85D73"/>
    <w:rsid w:val="00A8647E"/>
    <w:rsid w:val="00A86516"/>
    <w:rsid w:val="00A86915"/>
    <w:rsid w:val="00A86E3D"/>
    <w:rsid w:val="00A86F86"/>
    <w:rsid w:val="00A8707B"/>
    <w:rsid w:val="00A870F9"/>
    <w:rsid w:val="00A877AD"/>
    <w:rsid w:val="00A877C9"/>
    <w:rsid w:val="00A87B07"/>
    <w:rsid w:val="00A87FF8"/>
    <w:rsid w:val="00A900D5"/>
    <w:rsid w:val="00A90176"/>
    <w:rsid w:val="00A90472"/>
    <w:rsid w:val="00A9062C"/>
    <w:rsid w:val="00A90F7A"/>
    <w:rsid w:val="00A911CA"/>
    <w:rsid w:val="00A9133E"/>
    <w:rsid w:val="00A9134A"/>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236"/>
    <w:rsid w:val="00A94F46"/>
    <w:rsid w:val="00A95113"/>
    <w:rsid w:val="00A952A6"/>
    <w:rsid w:val="00A95AB6"/>
    <w:rsid w:val="00A95B0E"/>
    <w:rsid w:val="00A95DC4"/>
    <w:rsid w:val="00A96694"/>
    <w:rsid w:val="00A96745"/>
    <w:rsid w:val="00A97111"/>
    <w:rsid w:val="00A9773B"/>
    <w:rsid w:val="00A97759"/>
    <w:rsid w:val="00A97A34"/>
    <w:rsid w:val="00A97CA0"/>
    <w:rsid w:val="00AA02D0"/>
    <w:rsid w:val="00AA0523"/>
    <w:rsid w:val="00AA06DF"/>
    <w:rsid w:val="00AA0A3F"/>
    <w:rsid w:val="00AA0AE0"/>
    <w:rsid w:val="00AA0E4F"/>
    <w:rsid w:val="00AA0E5A"/>
    <w:rsid w:val="00AA11EA"/>
    <w:rsid w:val="00AA15DF"/>
    <w:rsid w:val="00AA19D0"/>
    <w:rsid w:val="00AA1EEE"/>
    <w:rsid w:val="00AA20D6"/>
    <w:rsid w:val="00AA238E"/>
    <w:rsid w:val="00AA24A5"/>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138"/>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71F"/>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DD3"/>
    <w:rsid w:val="00AB2E56"/>
    <w:rsid w:val="00AB2F5E"/>
    <w:rsid w:val="00AB3014"/>
    <w:rsid w:val="00AB30D5"/>
    <w:rsid w:val="00AB3762"/>
    <w:rsid w:val="00AB37A8"/>
    <w:rsid w:val="00AB3A70"/>
    <w:rsid w:val="00AB3AEC"/>
    <w:rsid w:val="00AB4250"/>
    <w:rsid w:val="00AB4334"/>
    <w:rsid w:val="00AB433F"/>
    <w:rsid w:val="00AB4415"/>
    <w:rsid w:val="00AB45CB"/>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B7EC6"/>
    <w:rsid w:val="00AC0119"/>
    <w:rsid w:val="00AC0750"/>
    <w:rsid w:val="00AC0D3A"/>
    <w:rsid w:val="00AC0E24"/>
    <w:rsid w:val="00AC137D"/>
    <w:rsid w:val="00AC1489"/>
    <w:rsid w:val="00AC1850"/>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9F9"/>
    <w:rsid w:val="00AC5D8D"/>
    <w:rsid w:val="00AC5DE1"/>
    <w:rsid w:val="00AC6094"/>
    <w:rsid w:val="00AC62E4"/>
    <w:rsid w:val="00AC66F4"/>
    <w:rsid w:val="00AC670D"/>
    <w:rsid w:val="00AC67D4"/>
    <w:rsid w:val="00AC6C2B"/>
    <w:rsid w:val="00AC6CA9"/>
    <w:rsid w:val="00AC6CB2"/>
    <w:rsid w:val="00AC6D33"/>
    <w:rsid w:val="00AC6F95"/>
    <w:rsid w:val="00AC72AF"/>
    <w:rsid w:val="00AC7368"/>
    <w:rsid w:val="00AC75FB"/>
    <w:rsid w:val="00AC7A5D"/>
    <w:rsid w:val="00AC7DA4"/>
    <w:rsid w:val="00AD0270"/>
    <w:rsid w:val="00AD02BF"/>
    <w:rsid w:val="00AD04E0"/>
    <w:rsid w:val="00AD05B1"/>
    <w:rsid w:val="00AD05F6"/>
    <w:rsid w:val="00AD07D1"/>
    <w:rsid w:val="00AD0905"/>
    <w:rsid w:val="00AD09AC"/>
    <w:rsid w:val="00AD09EB"/>
    <w:rsid w:val="00AD0A4F"/>
    <w:rsid w:val="00AD1109"/>
    <w:rsid w:val="00AD11DC"/>
    <w:rsid w:val="00AD14DD"/>
    <w:rsid w:val="00AD1674"/>
    <w:rsid w:val="00AD1681"/>
    <w:rsid w:val="00AD1809"/>
    <w:rsid w:val="00AD1C67"/>
    <w:rsid w:val="00AD1F52"/>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1B"/>
    <w:rsid w:val="00AD3D6A"/>
    <w:rsid w:val="00AD404A"/>
    <w:rsid w:val="00AD4968"/>
    <w:rsid w:val="00AD49A3"/>
    <w:rsid w:val="00AD4A8F"/>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A63"/>
    <w:rsid w:val="00AE0C33"/>
    <w:rsid w:val="00AE0F89"/>
    <w:rsid w:val="00AE116D"/>
    <w:rsid w:val="00AE12A0"/>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BE"/>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A4A"/>
    <w:rsid w:val="00AE7BA7"/>
    <w:rsid w:val="00AF0007"/>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6F0"/>
    <w:rsid w:val="00AF487A"/>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32B"/>
    <w:rsid w:val="00AF764A"/>
    <w:rsid w:val="00AF786B"/>
    <w:rsid w:val="00AF78A6"/>
    <w:rsid w:val="00AF7969"/>
    <w:rsid w:val="00B006E8"/>
    <w:rsid w:val="00B007C0"/>
    <w:rsid w:val="00B00A4A"/>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3CD7"/>
    <w:rsid w:val="00B042FA"/>
    <w:rsid w:val="00B043E3"/>
    <w:rsid w:val="00B049F2"/>
    <w:rsid w:val="00B04CDD"/>
    <w:rsid w:val="00B04F87"/>
    <w:rsid w:val="00B05036"/>
    <w:rsid w:val="00B05288"/>
    <w:rsid w:val="00B052D5"/>
    <w:rsid w:val="00B054C9"/>
    <w:rsid w:val="00B055D2"/>
    <w:rsid w:val="00B057C8"/>
    <w:rsid w:val="00B0589C"/>
    <w:rsid w:val="00B05A2A"/>
    <w:rsid w:val="00B05D08"/>
    <w:rsid w:val="00B05EB5"/>
    <w:rsid w:val="00B05F2B"/>
    <w:rsid w:val="00B06226"/>
    <w:rsid w:val="00B0640C"/>
    <w:rsid w:val="00B069FC"/>
    <w:rsid w:val="00B06AB3"/>
    <w:rsid w:val="00B06DFC"/>
    <w:rsid w:val="00B07356"/>
    <w:rsid w:val="00B07630"/>
    <w:rsid w:val="00B07709"/>
    <w:rsid w:val="00B07B61"/>
    <w:rsid w:val="00B07D90"/>
    <w:rsid w:val="00B10352"/>
    <w:rsid w:val="00B1086A"/>
    <w:rsid w:val="00B10D76"/>
    <w:rsid w:val="00B113DD"/>
    <w:rsid w:val="00B1141B"/>
    <w:rsid w:val="00B114C8"/>
    <w:rsid w:val="00B116C4"/>
    <w:rsid w:val="00B11FE1"/>
    <w:rsid w:val="00B12315"/>
    <w:rsid w:val="00B123EE"/>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588C"/>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3DE"/>
    <w:rsid w:val="00B22748"/>
    <w:rsid w:val="00B2288F"/>
    <w:rsid w:val="00B228C9"/>
    <w:rsid w:val="00B22D17"/>
    <w:rsid w:val="00B22E11"/>
    <w:rsid w:val="00B23383"/>
    <w:rsid w:val="00B2339D"/>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571"/>
    <w:rsid w:val="00B25660"/>
    <w:rsid w:val="00B257AC"/>
    <w:rsid w:val="00B25928"/>
    <w:rsid w:val="00B25AB0"/>
    <w:rsid w:val="00B25B86"/>
    <w:rsid w:val="00B25F45"/>
    <w:rsid w:val="00B26183"/>
    <w:rsid w:val="00B262F4"/>
    <w:rsid w:val="00B26407"/>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AF2"/>
    <w:rsid w:val="00B313B2"/>
    <w:rsid w:val="00B3159C"/>
    <w:rsid w:val="00B316A1"/>
    <w:rsid w:val="00B317E6"/>
    <w:rsid w:val="00B318B5"/>
    <w:rsid w:val="00B31D3E"/>
    <w:rsid w:val="00B31DDE"/>
    <w:rsid w:val="00B31F4D"/>
    <w:rsid w:val="00B32A26"/>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E4"/>
    <w:rsid w:val="00B4327E"/>
    <w:rsid w:val="00B43318"/>
    <w:rsid w:val="00B4334F"/>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C03"/>
    <w:rsid w:val="00B45E5E"/>
    <w:rsid w:val="00B45F8C"/>
    <w:rsid w:val="00B461C7"/>
    <w:rsid w:val="00B46279"/>
    <w:rsid w:val="00B462A7"/>
    <w:rsid w:val="00B46444"/>
    <w:rsid w:val="00B46634"/>
    <w:rsid w:val="00B46BCA"/>
    <w:rsid w:val="00B46BD2"/>
    <w:rsid w:val="00B46C92"/>
    <w:rsid w:val="00B46FED"/>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9B5"/>
    <w:rsid w:val="00B52CFB"/>
    <w:rsid w:val="00B53320"/>
    <w:rsid w:val="00B53604"/>
    <w:rsid w:val="00B5365E"/>
    <w:rsid w:val="00B53928"/>
    <w:rsid w:val="00B539D3"/>
    <w:rsid w:val="00B53ABD"/>
    <w:rsid w:val="00B53B29"/>
    <w:rsid w:val="00B53D45"/>
    <w:rsid w:val="00B540B0"/>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9B9"/>
    <w:rsid w:val="00B63AE0"/>
    <w:rsid w:val="00B63BBD"/>
    <w:rsid w:val="00B63DB5"/>
    <w:rsid w:val="00B63EBF"/>
    <w:rsid w:val="00B64084"/>
    <w:rsid w:val="00B641F9"/>
    <w:rsid w:val="00B64396"/>
    <w:rsid w:val="00B643B1"/>
    <w:rsid w:val="00B645CD"/>
    <w:rsid w:val="00B647DA"/>
    <w:rsid w:val="00B64BE5"/>
    <w:rsid w:val="00B64C69"/>
    <w:rsid w:val="00B64DE3"/>
    <w:rsid w:val="00B65044"/>
    <w:rsid w:val="00B652D9"/>
    <w:rsid w:val="00B65607"/>
    <w:rsid w:val="00B65869"/>
    <w:rsid w:val="00B65939"/>
    <w:rsid w:val="00B659F6"/>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F21"/>
    <w:rsid w:val="00B700D1"/>
    <w:rsid w:val="00B70350"/>
    <w:rsid w:val="00B705A0"/>
    <w:rsid w:val="00B70610"/>
    <w:rsid w:val="00B70624"/>
    <w:rsid w:val="00B70710"/>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5BF"/>
    <w:rsid w:val="00B815C2"/>
    <w:rsid w:val="00B81708"/>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DDC"/>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8"/>
    <w:rsid w:val="00B96AF1"/>
    <w:rsid w:val="00B97164"/>
    <w:rsid w:val="00B97306"/>
    <w:rsid w:val="00B9744D"/>
    <w:rsid w:val="00B976AB"/>
    <w:rsid w:val="00B97751"/>
    <w:rsid w:val="00B97FB7"/>
    <w:rsid w:val="00BA0202"/>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D67"/>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D4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0E4"/>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190"/>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0E"/>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2E5"/>
    <w:rsid w:val="00BE092B"/>
    <w:rsid w:val="00BE0C7A"/>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2EA4"/>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8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9D7"/>
    <w:rsid w:val="00C01EC8"/>
    <w:rsid w:val="00C02174"/>
    <w:rsid w:val="00C02199"/>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544"/>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1DEB"/>
    <w:rsid w:val="00C126B6"/>
    <w:rsid w:val="00C12DB5"/>
    <w:rsid w:val="00C12DC4"/>
    <w:rsid w:val="00C13264"/>
    <w:rsid w:val="00C137D1"/>
    <w:rsid w:val="00C146DA"/>
    <w:rsid w:val="00C14700"/>
    <w:rsid w:val="00C14948"/>
    <w:rsid w:val="00C14985"/>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6EEE"/>
    <w:rsid w:val="00C1701B"/>
    <w:rsid w:val="00C17055"/>
    <w:rsid w:val="00C170FB"/>
    <w:rsid w:val="00C17242"/>
    <w:rsid w:val="00C172C3"/>
    <w:rsid w:val="00C17311"/>
    <w:rsid w:val="00C173BD"/>
    <w:rsid w:val="00C17596"/>
    <w:rsid w:val="00C17789"/>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03"/>
    <w:rsid w:val="00C249D9"/>
    <w:rsid w:val="00C24BA2"/>
    <w:rsid w:val="00C24DEA"/>
    <w:rsid w:val="00C2518F"/>
    <w:rsid w:val="00C25517"/>
    <w:rsid w:val="00C259D5"/>
    <w:rsid w:val="00C25D35"/>
    <w:rsid w:val="00C25D65"/>
    <w:rsid w:val="00C25DD1"/>
    <w:rsid w:val="00C25E94"/>
    <w:rsid w:val="00C260C7"/>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F1C"/>
    <w:rsid w:val="00C3237F"/>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409F"/>
    <w:rsid w:val="00C34131"/>
    <w:rsid w:val="00C34BAF"/>
    <w:rsid w:val="00C34E03"/>
    <w:rsid w:val="00C34E4C"/>
    <w:rsid w:val="00C34E7E"/>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167"/>
    <w:rsid w:val="00C47495"/>
    <w:rsid w:val="00C476B3"/>
    <w:rsid w:val="00C477B5"/>
    <w:rsid w:val="00C47C1B"/>
    <w:rsid w:val="00C50117"/>
    <w:rsid w:val="00C50148"/>
    <w:rsid w:val="00C503C3"/>
    <w:rsid w:val="00C50CB1"/>
    <w:rsid w:val="00C512D2"/>
    <w:rsid w:val="00C515F0"/>
    <w:rsid w:val="00C51783"/>
    <w:rsid w:val="00C5191E"/>
    <w:rsid w:val="00C51996"/>
    <w:rsid w:val="00C51EE3"/>
    <w:rsid w:val="00C52102"/>
    <w:rsid w:val="00C5220A"/>
    <w:rsid w:val="00C52401"/>
    <w:rsid w:val="00C525A0"/>
    <w:rsid w:val="00C527B7"/>
    <w:rsid w:val="00C52952"/>
    <w:rsid w:val="00C52D53"/>
    <w:rsid w:val="00C53144"/>
    <w:rsid w:val="00C53EDE"/>
    <w:rsid w:val="00C53F07"/>
    <w:rsid w:val="00C53FD6"/>
    <w:rsid w:val="00C5417A"/>
    <w:rsid w:val="00C54464"/>
    <w:rsid w:val="00C54645"/>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889"/>
    <w:rsid w:val="00C578DB"/>
    <w:rsid w:val="00C57C75"/>
    <w:rsid w:val="00C601C2"/>
    <w:rsid w:val="00C60329"/>
    <w:rsid w:val="00C6045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11A"/>
    <w:rsid w:val="00C663BF"/>
    <w:rsid w:val="00C66596"/>
    <w:rsid w:val="00C66638"/>
    <w:rsid w:val="00C667F6"/>
    <w:rsid w:val="00C66893"/>
    <w:rsid w:val="00C668FF"/>
    <w:rsid w:val="00C66C9A"/>
    <w:rsid w:val="00C66F2C"/>
    <w:rsid w:val="00C66F93"/>
    <w:rsid w:val="00C67020"/>
    <w:rsid w:val="00C675F6"/>
    <w:rsid w:val="00C6770A"/>
    <w:rsid w:val="00C67752"/>
    <w:rsid w:val="00C67C21"/>
    <w:rsid w:val="00C67C9A"/>
    <w:rsid w:val="00C67EFD"/>
    <w:rsid w:val="00C67FD0"/>
    <w:rsid w:val="00C702C1"/>
    <w:rsid w:val="00C7087E"/>
    <w:rsid w:val="00C709F0"/>
    <w:rsid w:val="00C70EA8"/>
    <w:rsid w:val="00C70FC0"/>
    <w:rsid w:val="00C71326"/>
    <w:rsid w:val="00C7136B"/>
    <w:rsid w:val="00C713F5"/>
    <w:rsid w:val="00C71520"/>
    <w:rsid w:val="00C71631"/>
    <w:rsid w:val="00C71906"/>
    <w:rsid w:val="00C7223F"/>
    <w:rsid w:val="00C72372"/>
    <w:rsid w:val="00C724E8"/>
    <w:rsid w:val="00C72B30"/>
    <w:rsid w:val="00C72D0F"/>
    <w:rsid w:val="00C72E87"/>
    <w:rsid w:val="00C7301F"/>
    <w:rsid w:val="00C73067"/>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4CB"/>
    <w:rsid w:val="00C7664E"/>
    <w:rsid w:val="00C76AC8"/>
    <w:rsid w:val="00C76B83"/>
    <w:rsid w:val="00C76BF9"/>
    <w:rsid w:val="00C76C27"/>
    <w:rsid w:val="00C76C75"/>
    <w:rsid w:val="00C773AA"/>
    <w:rsid w:val="00C77662"/>
    <w:rsid w:val="00C77A75"/>
    <w:rsid w:val="00C77C23"/>
    <w:rsid w:val="00C77CA7"/>
    <w:rsid w:val="00C77DD7"/>
    <w:rsid w:val="00C77F58"/>
    <w:rsid w:val="00C80032"/>
    <w:rsid w:val="00C80427"/>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68F"/>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21"/>
    <w:rsid w:val="00C86893"/>
    <w:rsid w:val="00C86991"/>
    <w:rsid w:val="00C8716E"/>
    <w:rsid w:val="00C871C6"/>
    <w:rsid w:val="00C8722A"/>
    <w:rsid w:val="00C87258"/>
    <w:rsid w:val="00C872EA"/>
    <w:rsid w:val="00C875F9"/>
    <w:rsid w:val="00C87830"/>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082"/>
    <w:rsid w:val="00C93214"/>
    <w:rsid w:val="00C93229"/>
    <w:rsid w:val="00C935B1"/>
    <w:rsid w:val="00C936AA"/>
    <w:rsid w:val="00C93870"/>
    <w:rsid w:val="00C93A0C"/>
    <w:rsid w:val="00C93A2E"/>
    <w:rsid w:val="00C93B2A"/>
    <w:rsid w:val="00C93DB7"/>
    <w:rsid w:val="00C940B5"/>
    <w:rsid w:val="00C9422A"/>
    <w:rsid w:val="00C944B2"/>
    <w:rsid w:val="00C9464B"/>
    <w:rsid w:val="00C94A68"/>
    <w:rsid w:val="00C94D00"/>
    <w:rsid w:val="00C94DB9"/>
    <w:rsid w:val="00C95000"/>
    <w:rsid w:val="00C95771"/>
    <w:rsid w:val="00C9591C"/>
    <w:rsid w:val="00C95984"/>
    <w:rsid w:val="00C95AA5"/>
    <w:rsid w:val="00C95AF3"/>
    <w:rsid w:val="00C95B3D"/>
    <w:rsid w:val="00C95F4E"/>
    <w:rsid w:val="00C96004"/>
    <w:rsid w:val="00C9631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481"/>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B49"/>
    <w:rsid w:val="00CA2C35"/>
    <w:rsid w:val="00CA2C57"/>
    <w:rsid w:val="00CA2DBC"/>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E8C"/>
    <w:rsid w:val="00CB1FEC"/>
    <w:rsid w:val="00CB2243"/>
    <w:rsid w:val="00CB24E8"/>
    <w:rsid w:val="00CB25D0"/>
    <w:rsid w:val="00CB25EB"/>
    <w:rsid w:val="00CB2644"/>
    <w:rsid w:val="00CB27A4"/>
    <w:rsid w:val="00CB2E72"/>
    <w:rsid w:val="00CB2F39"/>
    <w:rsid w:val="00CB3139"/>
    <w:rsid w:val="00CB395B"/>
    <w:rsid w:val="00CB3BF0"/>
    <w:rsid w:val="00CB3FE2"/>
    <w:rsid w:val="00CB40DB"/>
    <w:rsid w:val="00CB41F0"/>
    <w:rsid w:val="00CB41FF"/>
    <w:rsid w:val="00CB42D0"/>
    <w:rsid w:val="00CB45C8"/>
    <w:rsid w:val="00CB46A3"/>
    <w:rsid w:val="00CB4714"/>
    <w:rsid w:val="00CB4AAD"/>
    <w:rsid w:val="00CB5278"/>
    <w:rsid w:val="00CB52F3"/>
    <w:rsid w:val="00CB58B0"/>
    <w:rsid w:val="00CB5D54"/>
    <w:rsid w:val="00CB602C"/>
    <w:rsid w:val="00CB63D2"/>
    <w:rsid w:val="00CB660E"/>
    <w:rsid w:val="00CB6ABE"/>
    <w:rsid w:val="00CB7492"/>
    <w:rsid w:val="00CB75C8"/>
    <w:rsid w:val="00CB7E6C"/>
    <w:rsid w:val="00CB7E96"/>
    <w:rsid w:val="00CB7F96"/>
    <w:rsid w:val="00CC0423"/>
    <w:rsid w:val="00CC0F2E"/>
    <w:rsid w:val="00CC0F45"/>
    <w:rsid w:val="00CC12CA"/>
    <w:rsid w:val="00CC14C8"/>
    <w:rsid w:val="00CC1A85"/>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82"/>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E28"/>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2E8"/>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A2D"/>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0E3"/>
    <w:rsid w:val="00CE32C1"/>
    <w:rsid w:val="00CE32DC"/>
    <w:rsid w:val="00CE3347"/>
    <w:rsid w:val="00CE34DC"/>
    <w:rsid w:val="00CE3654"/>
    <w:rsid w:val="00CE3CD1"/>
    <w:rsid w:val="00CE3D25"/>
    <w:rsid w:val="00CE417C"/>
    <w:rsid w:val="00CE42C3"/>
    <w:rsid w:val="00CE430A"/>
    <w:rsid w:val="00CE430D"/>
    <w:rsid w:val="00CE4317"/>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1119"/>
    <w:rsid w:val="00CF15C3"/>
    <w:rsid w:val="00CF18D9"/>
    <w:rsid w:val="00CF1985"/>
    <w:rsid w:val="00CF1A7E"/>
    <w:rsid w:val="00CF1B22"/>
    <w:rsid w:val="00CF1B4D"/>
    <w:rsid w:val="00CF1C69"/>
    <w:rsid w:val="00CF1C9C"/>
    <w:rsid w:val="00CF1CE4"/>
    <w:rsid w:val="00CF1D11"/>
    <w:rsid w:val="00CF1E12"/>
    <w:rsid w:val="00CF21C5"/>
    <w:rsid w:val="00CF226E"/>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0A5"/>
    <w:rsid w:val="00CF515A"/>
    <w:rsid w:val="00CF5195"/>
    <w:rsid w:val="00CF52F4"/>
    <w:rsid w:val="00CF53B9"/>
    <w:rsid w:val="00CF554C"/>
    <w:rsid w:val="00CF5557"/>
    <w:rsid w:val="00CF583F"/>
    <w:rsid w:val="00CF594E"/>
    <w:rsid w:val="00CF5966"/>
    <w:rsid w:val="00CF5DE6"/>
    <w:rsid w:val="00CF6137"/>
    <w:rsid w:val="00CF61A8"/>
    <w:rsid w:val="00CF6290"/>
    <w:rsid w:val="00CF6596"/>
    <w:rsid w:val="00CF6782"/>
    <w:rsid w:val="00CF67BC"/>
    <w:rsid w:val="00CF6974"/>
    <w:rsid w:val="00CF6CCB"/>
    <w:rsid w:val="00CF70A9"/>
    <w:rsid w:val="00CF7156"/>
    <w:rsid w:val="00CF7452"/>
    <w:rsid w:val="00CF74E0"/>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A0"/>
    <w:rsid w:val="00D027E0"/>
    <w:rsid w:val="00D0280A"/>
    <w:rsid w:val="00D029B1"/>
    <w:rsid w:val="00D02ACB"/>
    <w:rsid w:val="00D02F36"/>
    <w:rsid w:val="00D032FB"/>
    <w:rsid w:val="00D034DA"/>
    <w:rsid w:val="00D03572"/>
    <w:rsid w:val="00D03C49"/>
    <w:rsid w:val="00D03EFE"/>
    <w:rsid w:val="00D04464"/>
    <w:rsid w:val="00D0494E"/>
    <w:rsid w:val="00D0528B"/>
    <w:rsid w:val="00D0545F"/>
    <w:rsid w:val="00D05548"/>
    <w:rsid w:val="00D0577F"/>
    <w:rsid w:val="00D05A8B"/>
    <w:rsid w:val="00D05BBF"/>
    <w:rsid w:val="00D05C94"/>
    <w:rsid w:val="00D05DFF"/>
    <w:rsid w:val="00D05E82"/>
    <w:rsid w:val="00D05EC5"/>
    <w:rsid w:val="00D06751"/>
    <w:rsid w:val="00D06CC9"/>
    <w:rsid w:val="00D070DD"/>
    <w:rsid w:val="00D0738D"/>
    <w:rsid w:val="00D0740D"/>
    <w:rsid w:val="00D07520"/>
    <w:rsid w:val="00D07A39"/>
    <w:rsid w:val="00D07B88"/>
    <w:rsid w:val="00D07E5B"/>
    <w:rsid w:val="00D10230"/>
    <w:rsid w:val="00D10473"/>
    <w:rsid w:val="00D107A9"/>
    <w:rsid w:val="00D107D5"/>
    <w:rsid w:val="00D1098A"/>
    <w:rsid w:val="00D11975"/>
    <w:rsid w:val="00D119E8"/>
    <w:rsid w:val="00D11A99"/>
    <w:rsid w:val="00D11CB8"/>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5EB3"/>
    <w:rsid w:val="00D16644"/>
    <w:rsid w:val="00D16B9B"/>
    <w:rsid w:val="00D16BDC"/>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E2"/>
    <w:rsid w:val="00D22E20"/>
    <w:rsid w:val="00D23187"/>
    <w:rsid w:val="00D23FA6"/>
    <w:rsid w:val="00D24220"/>
    <w:rsid w:val="00D242C4"/>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8D6"/>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52D"/>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65BE"/>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05"/>
    <w:rsid w:val="00D62356"/>
    <w:rsid w:val="00D62449"/>
    <w:rsid w:val="00D626E0"/>
    <w:rsid w:val="00D626E1"/>
    <w:rsid w:val="00D628E2"/>
    <w:rsid w:val="00D62ADC"/>
    <w:rsid w:val="00D62D59"/>
    <w:rsid w:val="00D62D92"/>
    <w:rsid w:val="00D62DBB"/>
    <w:rsid w:val="00D62E24"/>
    <w:rsid w:val="00D63033"/>
    <w:rsid w:val="00D630C3"/>
    <w:rsid w:val="00D6331A"/>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339"/>
    <w:rsid w:val="00D654DF"/>
    <w:rsid w:val="00D6576B"/>
    <w:rsid w:val="00D65952"/>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C75"/>
    <w:rsid w:val="00D67D64"/>
    <w:rsid w:val="00D67DB1"/>
    <w:rsid w:val="00D705BD"/>
    <w:rsid w:val="00D70699"/>
    <w:rsid w:val="00D706B0"/>
    <w:rsid w:val="00D706CB"/>
    <w:rsid w:val="00D706E1"/>
    <w:rsid w:val="00D707DD"/>
    <w:rsid w:val="00D70AA9"/>
    <w:rsid w:val="00D7110F"/>
    <w:rsid w:val="00D71334"/>
    <w:rsid w:val="00D714E8"/>
    <w:rsid w:val="00D71A32"/>
    <w:rsid w:val="00D71EFC"/>
    <w:rsid w:val="00D7210D"/>
    <w:rsid w:val="00D7247B"/>
    <w:rsid w:val="00D724FA"/>
    <w:rsid w:val="00D726EE"/>
    <w:rsid w:val="00D72749"/>
    <w:rsid w:val="00D72B38"/>
    <w:rsid w:val="00D72CBB"/>
    <w:rsid w:val="00D72D7A"/>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6B8"/>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EDA"/>
    <w:rsid w:val="00D80FD9"/>
    <w:rsid w:val="00D81108"/>
    <w:rsid w:val="00D81279"/>
    <w:rsid w:val="00D81519"/>
    <w:rsid w:val="00D81557"/>
    <w:rsid w:val="00D815BE"/>
    <w:rsid w:val="00D8166D"/>
    <w:rsid w:val="00D816E3"/>
    <w:rsid w:val="00D82213"/>
    <w:rsid w:val="00D827A6"/>
    <w:rsid w:val="00D82BC7"/>
    <w:rsid w:val="00D82C1D"/>
    <w:rsid w:val="00D82D71"/>
    <w:rsid w:val="00D833A2"/>
    <w:rsid w:val="00D839E6"/>
    <w:rsid w:val="00D83AAF"/>
    <w:rsid w:val="00D83B14"/>
    <w:rsid w:val="00D83DF7"/>
    <w:rsid w:val="00D840D8"/>
    <w:rsid w:val="00D84139"/>
    <w:rsid w:val="00D843C9"/>
    <w:rsid w:val="00D84543"/>
    <w:rsid w:val="00D845D4"/>
    <w:rsid w:val="00D849F8"/>
    <w:rsid w:val="00D84A48"/>
    <w:rsid w:val="00D84D7F"/>
    <w:rsid w:val="00D84E4A"/>
    <w:rsid w:val="00D85071"/>
    <w:rsid w:val="00D851A2"/>
    <w:rsid w:val="00D85464"/>
    <w:rsid w:val="00D85681"/>
    <w:rsid w:val="00D85D7C"/>
    <w:rsid w:val="00D85D83"/>
    <w:rsid w:val="00D85DBF"/>
    <w:rsid w:val="00D85E87"/>
    <w:rsid w:val="00D86369"/>
    <w:rsid w:val="00D8649A"/>
    <w:rsid w:val="00D865B1"/>
    <w:rsid w:val="00D865E4"/>
    <w:rsid w:val="00D867EA"/>
    <w:rsid w:val="00D86912"/>
    <w:rsid w:val="00D86FDC"/>
    <w:rsid w:val="00D87206"/>
    <w:rsid w:val="00D8734A"/>
    <w:rsid w:val="00D87782"/>
    <w:rsid w:val="00D87849"/>
    <w:rsid w:val="00D87B17"/>
    <w:rsid w:val="00D87B62"/>
    <w:rsid w:val="00D87DA0"/>
    <w:rsid w:val="00D87ECB"/>
    <w:rsid w:val="00D87F3E"/>
    <w:rsid w:val="00D902F5"/>
    <w:rsid w:val="00D903F7"/>
    <w:rsid w:val="00D9042C"/>
    <w:rsid w:val="00D904B4"/>
    <w:rsid w:val="00D90818"/>
    <w:rsid w:val="00D9103F"/>
    <w:rsid w:val="00D922D0"/>
    <w:rsid w:val="00D9244C"/>
    <w:rsid w:val="00D924BB"/>
    <w:rsid w:val="00D927FE"/>
    <w:rsid w:val="00D92B57"/>
    <w:rsid w:val="00D92CAF"/>
    <w:rsid w:val="00D930B3"/>
    <w:rsid w:val="00D936AE"/>
    <w:rsid w:val="00D936D3"/>
    <w:rsid w:val="00D93A14"/>
    <w:rsid w:val="00D93A15"/>
    <w:rsid w:val="00D93D52"/>
    <w:rsid w:val="00D93F88"/>
    <w:rsid w:val="00D93F9A"/>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AD4"/>
    <w:rsid w:val="00DA1BC8"/>
    <w:rsid w:val="00DA1D09"/>
    <w:rsid w:val="00DA1D0A"/>
    <w:rsid w:val="00DA1FB6"/>
    <w:rsid w:val="00DA1FD9"/>
    <w:rsid w:val="00DA25FD"/>
    <w:rsid w:val="00DA28C1"/>
    <w:rsid w:val="00DA2A67"/>
    <w:rsid w:val="00DA2CE5"/>
    <w:rsid w:val="00DA300F"/>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64"/>
    <w:rsid w:val="00DB438A"/>
    <w:rsid w:val="00DB4601"/>
    <w:rsid w:val="00DB463F"/>
    <w:rsid w:val="00DB4A7A"/>
    <w:rsid w:val="00DB4BA5"/>
    <w:rsid w:val="00DB4CC6"/>
    <w:rsid w:val="00DB50E1"/>
    <w:rsid w:val="00DB5628"/>
    <w:rsid w:val="00DB569C"/>
    <w:rsid w:val="00DB6262"/>
    <w:rsid w:val="00DB6340"/>
    <w:rsid w:val="00DB653A"/>
    <w:rsid w:val="00DB694B"/>
    <w:rsid w:val="00DB6B26"/>
    <w:rsid w:val="00DB70A8"/>
    <w:rsid w:val="00DB75AB"/>
    <w:rsid w:val="00DB779D"/>
    <w:rsid w:val="00DB7960"/>
    <w:rsid w:val="00DB7BAB"/>
    <w:rsid w:val="00DB7F30"/>
    <w:rsid w:val="00DC0212"/>
    <w:rsid w:val="00DC02A3"/>
    <w:rsid w:val="00DC0473"/>
    <w:rsid w:val="00DC055B"/>
    <w:rsid w:val="00DC06D0"/>
    <w:rsid w:val="00DC076C"/>
    <w:rsid w:val="00DC0ED8"/>
    <w:rsid w:val="00DC0EEE"/>
    <w:rsid w:val="00DC0F1D"/>
    <w:rsid w:val="00DC1A47"/>
    <w:rsid w:val="00DC1F32"/>
    <w:rsid w:val="00DC1F36"/>
    <w:rsid w:val="00DC235B"/>
    <w:rsid w:val="00DC24A3"/>
    <w:rsid w:val="00DC2623"/>
    <w:rsid w:val="00DC2765"/>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DEB"/>
    <w:rsid w:val="00DC6F12"/>
    <w:rsid w:val="00DC7039"/>
    <w:rsid w:val="00DC7B92"/>
    <w:rsid w:val="00DC7BD1"/>
    <w:rsid w:val="00DC7E84"/>
    <w:rsid w:val="00DD00CF"/>
    <w:rsid w:val="00DD03BC"/>
    <w:rsid w:val="00DD05D6"/>
    <w:rsid w:val="00DD0731"/>
    <w:rsid w:val="00DD07EB"/>
    <w:rsid w:val="00DD088C"/>
    <w:rsid w:val="00DD0DCD"/>
    <w:rsid w:val="00DD0F4B"/>
    <w:rsid w:val="00DD0F56"/>
    <w:rsid w:val="00DD0FEC"/>
    <w:rsid w:val="00DD115F"/>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7F8"/>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A5E"/>
    <w:rsid w:val="00DE3F01"/>
    <w:rsid w:val="00DE4016"/>
    <w:rsid w:val="00DE40FE"/>
    <w:rsid w:val="00DE4144"/>
    <w:rsid w:val="00DE41EC"/>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2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DC"/>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EFB"/>
    <w:rsid w:val="00DF2F5E"/>
    <w:rsid w:val="00DF2FC3"/>
    <w:rsid w:val="00DF308A"/>
    <w:rsid w:val="00DF30B6"/>
    <w:rsid w:val="00DF3244"/>
    <w:rsid w:val="00DF32DE"/>
    <w:rsid w:val="00DF33E0"/>
    <w:rsid w:val="00DF3427"/>
    <w:rsid w:val="00DF38C5"/>
    <w:rsid w:val="00DF410A"/>
    <w:rsid w:val="00DF45B4"/>
    <w:rsid w:val="00DF4777"/>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337"/>
    <w:rsid w:val="00E0260F"/>
    <w:rsid w:val="00E02610"/>
    <w:rsid w:val="00E03737"/>
    <w:rsid w:val="00E037AB"/>
    <w:rsid w:val="00E039C2"/>
    <w:rsid w:val="00E03D11"/>
    <w:rsid w:val="00E03E94"/>
    <w:rsid w:val="00E03F22"/>
    <w:rsid w:val="00E040F8"/>
    <w:rsid w:val="00E0415D"/>
    <w:rsid w:val="00E04237"/>
    <w:rsid w:val="00E04477"/>
    <w:rsid w:val="00E044C5"/>
    <w:rsid w:val="00E04D9E"/>
    <w:rsid w:val="00E0525F"/>
    <w:rsid w:val="00E05701"/>
    <w:rsid w:val="00E057B0"/>
    <w:rsid w:val="00E06089"/>
    <w:rsid w:val="00E066F5"/>
    <w:rsid w:val="00E06723"/>
    <w:rsid w:val="00E068CB"/>
    <w:rsid w:val="00E06973"/>
    <w:rsid w:val="00E06C0A"/>
    <w:rsid w:val="00E06D80"/>
    <w:rsid w:val="00E06EDA"/>
    <w:rsid w:val="00E0749C"/>
    <w:rsid w:val="00E0751E"/>
    <w:rsid w:val="00E07690"/>
    <w:rsid w:val="00E077CA"/>
    <w:rsid w:val="00E07B3F"/>
    <w:rsid w:val="00E07D8A"/>
    <w:rsid w:val="00E07ECF"/>
    <w:rsid w:val="00E100CF"/>
    <w:rsid w:val="00E10344"/>
    <w:rsid w:val="00E10643"/>
    <w:rsid w:val="00E10750"/>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4E13"/>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0EA"/>
    <w:rsid w:val="00E2010A"/>
    <w:rsid w:val="00E20269"/>
    <w:rsid w:val="00E20302"/>
    <w:rsid w:val="00E206E2"/>
    <w:rsid w:val="00E206FB"/>
    <w:rsid w:val="00E2080F"/>
    <w:rsid w:val="00E20A83"/>
    <w:rsid w:val="00E20B67"/>
    <w:rsid w:val="00E20E61"/>
    <w:rsid w:val="00E21315"/>
    <w:rsid w:val="00E21CE3"/>
    <w:rsid w:val="00E2202F"/>
    <w:rsid w:val="00E22134"/>
    <w:rsid w:val="00E225A4"/>
    <w:rsid w:val="00E22626"/>
    <w:rsid w:val="00E228B3"/>
    <w:rsid w:val="00E22A86"/>
    <w:rsid w:val="00E22B61"/>
    <w:rsid w:val="00E22F56"/>
    <w:rsid w:val="00E22F60"/>
    <w:rsid w:val="00E234BA"/>
    <w:rsid w:val="00E2368E"/>
    <w:rsid w:val="00E2383C"/>
    <w:rsid w:val="00E23B09"/>
    <w:rsid w:val="00E23CCB"/>
    <w:rsid w:val="00E23F4D"/>
    <w:rsid w:val="00E23FA2"/>
    <w:rsid w:val="00E240B5"/>
    <w:rsid w:val="00E24187"/>
    <w:rsid w:val="00E2433C"/>
    <w:rsid w:val="00E245FD"/>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B77"/>
    <w:rsid w:val="00E32DC7"/>
    <w:rsid w:val="00E32EA6"/>
    <w:rsid w:val="00E32FBC"/>
    <w:rsid w:val="00E331A2"/>
    <w:rsid w:val="00E338CB"/>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70"/>
    <w:rsid w:val="00E360B7"/>
    <w:rsid w:val="00E36430"/>
    <w:rsid w:val="00E367D2"/>
    <w:rsid w:val="00E36C66"/>
    <w:rsid w:val="00E36F1A"/>
    <w:rsid w:val="00E36FA2"/>
    <w:rsid w:val="00E372A1"/>
    <w:rsid w:val="00E37302"/>
    <w:rsid w:val="00E376DA"/>
    <w:rsid w:val="00E37746"/>
    <w:rsid w:val="00E37811"/>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E40"/>
    <w:rsid w:val="00E430E0"/>
    <w:rsid w:val="00E43236"/>
    <w:rsid w:val="00E43425"/>
    <w:rsid w:val="00E434A2"/>
    <w:rsid w:val="00E434C1"/>
    <w:rsid w:val="00E435F1"/>
    <w:rsid w:val="00E437CF"/>
    <w:rsid w:val="00E43975"/>
    <w:rsid w:val="00E43C8F"/>
    <w:rsid w:val="00E43D1D"/>
    <w:rsid w:val="00E44027"/>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A12"/>
    <w:rsid w:val="00E46C36"/>
    <w:rsid w:val="00E46C7F"/>
    <w:rsid w:val="00E46C8E"/>
    <w:rsid w:val="00E46D7D"/>
    <w:rsid w:val="00E4764B"/>
    <w:rsid w:val="00E479AD"/>
    <w:rsid w:val="00E479BD"/>
    <w:rsid w:val="00E47BD3"/>
    <w:rsid w:val="00E5025E"/>
    <w:rsid w:val="00E50309"/>
    <w:rsid w:val="00E50598"/>
    <w:rsid w:val="00E50945"/>
    <w:rsid w:val="00E50BAD"/>
    <w:rsid w:val="00E50C8B"/>
    <w:rsid w:val="00E50D98"/>
    <w:rsid w:val="00E50E93"/>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4A"/>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2F96"/>
    <w:rsid w:val="00E6326A"/>
    <w:rsid w:val="00E633B5"/>
    <w:rsid w:val="00E63486"/>
    <w:rsid w:val="00E634CE"/>
    <w:rsid w:val="00E63849"/>
    <w:rsid w:val="00E63856"/>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54"/>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03"/>
    <w:rsid w:val="00E733F1"/>
    <w:rsid w:val="00E737C0"/>
    <w:rsid w:val="00E73A1C"/>
    <w:rsid w:val="00E73C3E"/>
    <w:rsid w:val="00E73C44"/>
    <w:rsid w:val="00E73D96"/>
    <w:rsid w:val="00E73DEC"/>
    <w:rsid w:val="00E73EA0"/>
    <w:rsid w:val="00E74250"/>
    <w:rsid w:val="00E74470"/>
    <w:rsid w:val="00E74744"/>
    <w:rsid w:val="00E74A1A"/>
    <w:rsid w:val="00E74AD4"/>
    <w:rsid w:val="00E75707"/>
    <w:rsid w:val="00E7576E"/>
    <w:rsid w:val="00E758F4"/>
    <w:rsid w:val="00E75B17"/>
    <w:rsid w:val="00E75D4C"/>
    <w:rsid w:val="00E75DD5"/>
    <w:rsid w:val="00E75E0A"/>
    <w:rsid w:val="00E76086"/>
    <w:rsid w:val="00E762C6"/>
    <w:rsid w:val="00E76410"/>
    <w:rsid w:val="00E7653A"/>
    <w:rsid w:val="00E7654F"/>
    <w:rsid w:val="00E767A7"/>
    <w:rsid w:val="00E76B89"/>
    <w:rsid w:val="00E7708E"/>
    <w:rsid w:val="00E77252"/>
    <w:rsid w:val="00E773D1"/>
    <w:rsid w:val="00E774FE"/>
    <w:rsid w:val="00E7779A"/>
    <w:rsid w:val="00E778D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1C8"/>
    <w:rsid w:val="00E826AF"/>
    <w:rsid w:val="00E82B2A"/>
    <w:rsid w:val="00E82CA4"/>
    <w:rsid w:val="00E82D62"/>
    <w:rsid w:val="00E82DC5"/>
    <w:rsid w:val="00E82EDA"/>
    <w:rsid w:val="00E830AE"/>
    <w:rsid w:val="00E832B4"/>
    <w:rsid w:val="00E835EE"/>
    <w:rsid w:val="00E83911"/>
    <w:rsid w:val="00E83E1E"/>
    <w:rsid w:val="00E83EBD"/>
    <w:rsid w:val="00E83F18"/>
    <w:rsid w:val="00E84060"/>
    <w:rsid w:val="00E8470B"/>
    <w:rsid w:val="00E84A8F"/>
    <w:rsid w:val="00E84CDC"/>
    <w:rsid w:val="00E84D47"/>
    <w:rsid w:val="00E85042"/>
    <w:rsid w:val="00E850A3"/>
    <w:rsid w:val="00E855E1"/>
    <w:rsid w:val="00E855E2"/>
    <w:rsid w:val="00E8562A"/>
    <w:rsid w:val="00E85704"/>
    <w:rsid w:val="00E857C0"/>
    <w:rsid w:val="00E8639F"/>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5FF"/>
    <w:rsid w:val="00E957C5"/>
    <w:rsid w:val="00E9589F"/>
    <w:rsid w:val="00E95A5D"/>
    <w:rsid w:val="00E962F8"/>
    <w:rsid w:val="00E96340"/>
    <w:rsid w:val="00E96D54"/>
    <w:rsid w:val="00E96DAC"/>
    <w:rsid w:val="00E96F2F"/>
    <w:rsid w:val="00E96F6A"/>
    <w:rsid w:val="00E97117"/>
    <w:rsid w:val="00E97321"/>
    <w:rsid w:val="00E97809"/>
    <w:rsid w:val="00E97A51"/>
    <w:rsid w:val="00E97AED"/>
    <w:rsid w:val="00E97E2D"/>
    <w:rsid w:val="00EA0004"/>
    <w:rsid w:val="00EA0126"/>
    <w:rsid w:val="00EA02C9"/>
    <w:rsid w:val="00EA0343"/>
    <w:rsid w:val="00EA094F"/>
    <w:rsid w:val="00EA13BA"/>
    <w:rsid w:val="00EA153A"/>
    <w:rsid w:val="00EA1603"/>
    <w:rsid w:val="00EA18F0"/>
    <w:rsid w:val="00EA1C20"/>
    <w:rsid w:val="00EA229E"/>
    <w:rsid w:val="00EA23F4"/>
    <w:rsid w:val="00EA26F4"/>
    <w:rsid w:val="00EA27CB"/>
    <w:rsid w:val="00EA2AE6"/>
    <w:rsid w:val="00EA2B7A"/>
    <w:rsid w:val="00EA2B8E"/>
    <w:rsid w:val="00EA2C25"/>
    <w:rsid w:val="00EA3BA8"/>
    <w:rsid w:val="00EA4072"/>
    <w:rsid w:val="00EA4114"/>
    <w:rsid w:val="00EA459C"/>
    <w:rsid w:val="00EA4750"/>
    <w:rsid w:val="00EA4C57"/>
    <w:rsid w:val="00EA518E"/>
    <w:rsid w:val="00EA5343"/>
    <w:rsid w:val="00EA5588"/>
    <w:rsid w:val="00EA5F96"/>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101A"/>
    <w:rsid w:val="00EB11E4"/>
    <w:rsid w:val="00EB128C"/>
    <w:rsid w:val="00EB1338"/>
    <w:rsid w:val="00EB1549"/>
    <w:rsid w:val="00EB15B8"/>
    <w:rsid w:val="00EB1A9A"/>
    <w:rsid w:val="00EB1AC4"/>
    <w:rsid w:val="00EB1DA9"/>
    <w:rsid w:val="00EB2191"/>
    <w:rsid w:val="00EB2386"/>
    <w:rsid w:val="00EB280B"/>
    <w:rsid w:val="00EB2BB4"/>
    <w:rsid w:val="00EB2C0C"/>
    <w:rsid w:val="00EB2C37"/>
    <w:rsid w:val="00EB2F55"/>
    <w:rsid w:val="00EB3186"/>
    <w:rsid w:val="00EB31EF"/>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14E"/>
    <w:rsid w:val="00EB5353"/>
    <w:rsid w:val="00EB547D"/>
    <w:rsid w:val="00EB54FD"/>
    <w:rsid w:val="00EB5791"/>
    <w:rsid w:val="00EB5912"/>
    <w:rsid w:val="00EB595A"/>
    <w:rsid w:val="00EB5A47"/>
    <w:rsid w:val="00EB5B1F"/>
    <w:rsid w:val="00EB5E3F"/>
    <w:rsid w:val="00EB6116"/>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3AF"/>
    <w:rsid w:val="00EC04A4"/>
    <w:rsid w:val="00EC051C"/>
    <w:rsid w:val="00EC0735"/>
    <w:rsid w:val="00EC0BCF"/>
    <w:rsid w:val="00EC1078"/>
    <w:rsid w:val="00EC1169"/>
    <w:rsid w:val="00EC128D"/>
    <w:rsid w:val="00EC1299"/>
    <w:rsid w:val="00EC137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937"/>
    <w:rsid w:val="00EC7D33"/>
    <w:rsid w:val="00ED0040"/>
    <w:rsid w:val="00ED03F6"/>
    <w:rsid w:val="00ED08E0"/>
    <w:rsid w:val="00ED0C49"/>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6F22"/>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5CC"/>
    <w:rsid w:val="00EE2B40"/>
    <w:rsid w:val="00EE3324"/>
    <w:rsid w:val="00EE3ADE"/>
    <w:rsid w:val="00EE3B8A"/>
    <w:rsid w:val="00EE3FB9"/>
    <w:rsid w:val="00EE4175"/>
    <w:rsid w:val="00EE41EC"/>
    <w:rsid w:val="00EE4273"/>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597"/>
    <w:rsid w:val="00EF0D85"/>
    <w:rsid w:val="00EF10C3"/>
    <w:rsid w:val="00EF1518"/>
    <w:rsid w:val="00EF15B9"/>
    <w:rsid w:val="00EF1845"/>
    <w:rsid w:val="00EF19E4"/>
    <w:rsid w:val="00EF1D7F"/>
    <w:rsid w:val="00EF1E01"/>
    <w:rsid w:val="00EF21D7"/>
    <w:rsid w:val="00EF23F2"/>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8"/>
    <w:rsid w:val="00EF4AFB"/>
    <w:rsid w:val="00EF4E5D"/>
    <w:rsid w:val="00EF54B8"/>
    <w:rsid w:val="00EF57CC"/>
    <w:rsid w:val="00EF5B97"/>
    <w:rsid w:val="00EF5C34"/>
    <w:rsid w:val="00EF5FE9"/>
    <w:rsid w:val="00EF64F0"/>
    <w:rsid w:val="00EF66F4"/>
    <w:rsid w:val="00EF6909"/>
    <w:rsid w:val="00EF6987"/>
    <w:rsid w:val="00EF6C4A"/>
    <w:rsid w:val="00EF6E3C"/>
    <w:rsid w:val="00EF7628"/>
    <w:rsid w:val="00EF77FF"/>
    <w:rsid w:val="00EF7896"/>
    <w:rsid w:val="00F00159"/>
    <w:rsid w:val="00F001C1"/>
    <w:rsid w:val="00F0037B"/>
    <w:rsid w:val="00F004FA"/>
    <w:rsid w:val="00F0063F"/>
    <w:rsid w:val="00F00739"/>
    <w:rsid w:val="00F008B9"/>
    <w:rsid w:val="00F008F1"/>
    <w:rsid w:val="00F00996"/>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82D"/>
    <w:rsid w:val="00F108AE"/>
    <w:rsid w:val="00F10915"/>
    <w:rsid w:val="00F10972"/>
    <w:rsid w:val="00F10BAE"/>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583"/>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75F"/>
    <w:rsid w:val="00F20859"/>
    <w:rsid w:val="00F208D9"/>
    <w:rsid w:val="00F20F66"/>
    <w:rsid w:val="00F215BE"/>
    <w:rsid w:val="00F217F9"/>
    <w:rsid w:val="00F218E4"/>
    <w:rsid w:val="00F21940"/>
    <w:rsid w:val="00F21960"/>
    <w:rsid w:val="00F21A5D"/>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73C"/>
    <w:rsid w:val="00F248DF"/>
    <w:rsid w:val="00F24AA9"/>
    <w:rsid w:val="00F24D41"/>
    <w:rsid w:val="00F2505E"/>
    <w:rsid w:val="00F25101"/>
    <w:rsid w:val="00F251D8"/>
    <w:rsid w:val="00F2566F"/>
    <w:rsid w:val="00F25AF7"/>
    <w:rsid w:val="00F25BF1"/>
    <w:rsid w:val="00F25C21"/>
    <w:rsid w:val="00F25CD1"/>
    <w:rsid w:val="00F25E68"/>
    <w:rsid w:val="00F2600A"/>
    <w:rsid w:val="00F26065"/>
    <w:rsid w:val="00F2619A"/>
    <w:rsid w:val="00F261A9"/>
    <w:rsid w:val="00F26755"/>
    <w:rsid w:val="00F2678F"/>
    <w:rsid w:val="00F267B0"/>
    <w:rsid w:val="00F26805"/>
    <w:rsid w:val="00F26908"/>
    <w:rsid w:val="00F26A0E"/>
    <w:rsid w:val="00F2706B"/>
    <w:rsid w:val="00F270C3"/>
    <w:rsid w:val="00F2757C"/>
    <w:rsid w:val="00F2798A"/>
    <w:rsid w:val="00F27B76"/>
    <w:rsid w:val="00F27DD1"/>
    <w:rsid w:val="00F27E61"/>
    <w:rsid w:val="00F300AB"/>
    <w:rsid w:val="00F30417"/>
    <w:rsid w:val="00F30644"/>
    <w:rsid w:val="00F3064C"/>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4AC"/>
    <w:rsid w:val="00F33600"/>
    <w:rsid w:val="00F3372A"/>
    <w:rsid w:val="00F339FE"/>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CA1"/>
    <w:rsid w:val="00F36E4D"/>
    <w:rsid w:val="00F37250"/>
    <w:rsid w:val="00F3736F"/>
    <w:rsid w:val="00F376E5"/>
    <w:rsid w:val="00F37BBE"/>
    <w:rsid w:val="00F37E1C"/>
    <w:rsid w:val="00F37F24"/>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1FD"/>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31B"/>
    <w:rsid w:val="00F46773"/>
    <w:rsid w:val="00F467F7"/>
    <w:rsid w:val="00F46FB5"/>
    <w:rsid w:val="00F47014"/>
    <w:rsid w:val="00F471B7"/>
    <w:rsid w:val="00F472B4"/>
    <w:rsid w:val="00F4741E"/>
    <w:rsid w:val="00F47BFD"/>
    <w:rsid w:val="00F47E1E"/>
    <w:rsid w:val="00F47E7B"/>
    <w:rsid w:val="00F500DA"/>
    <w:rsid w:val="00F503D0"/>
    <w:rsid w:val="00F50965"/>
    <w:rsid w:val="00F50A84"/>
    <w:rsid w:val="00F50B1D"/>
    <w:rsid w:val="00F50C43"/>
    <w:rsid w:val="00F50CCD"/>
    <w:rsid w:val="00F50EA3"/>
    <w:rsid w:val="00F50FC2"/>
    <w:rsid w:val="00F511D2"/>
    <w:rsid w:val="00F5133F"/>
    <w:rsid w:val="00F51AD4"/>
    <w:rsid w:val="00F51BD2"/>
    <w:rsid w:val="00F51C2D"/>
    <w:rsid w:val="00F523CB"/>
    <w:rsid w:val="00F52868"/>
    <w:rsid w:val="00F52E47"/>
    <w:rsid w:val="00F531FD"/>
    <w:rsid w:val="00F53560"/>
    <w:rsid w:val="00F53707"/>
    <w:rsid w:val="00F53708"/>
    <w:rsid w:val="00F53BE5"/>
    <w:rsid w:val="00F541E4"/>
    <w:rsid w:val="00F544F8"/>
    <w:rsid w:val="00F5468E"/>
    <w:rsid w:val="00F54C8A"/>
    <w:rsid w:val="00F54F8A"/>
    <w:rsid w:val="00F552B8"/>
    <w:rsid w:val="00F55515"/>
    <w:rsid w:val="00F55954"/>
    <w:rsid w:val="00F55B7D"/>
    <w:rsid w:val="00F55CB3"/>
    <w:rsid w:val="00F55E3E"/>
    <w:rsid w:val="00F55F7D"/>
    <w:rsid w:val="00F56106"/>
    <w:rsid w:val="00F56C09"/>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07"/>
    <w:rsid w:val="00F66717"/>
    <w:rsid w:val="00F6747A"/>
    <w:rsid w:val="00F674A4"/>
    <w:rsid w:val="00F67662"/>
    <w:rsid w:val="00F67A2D"/>
    <w:rsid w:val="00F67B59"/>
    <w:rsid w:val="00F67C85"/>
    <w:rsid w:val="00F67E6F"/>
    <w:rsid w:val="00F70006"/>
    <w:rsid w:val="00F70341"/>
    <w:rsid w:val="00F705C3"/>
    <w:rsid w:val="00F70725"/>
    <w:rsid w:val="00F707FE"/>
    <w:rsid w:val="00F70C09"/>
    <w:rsid w:val="00F70DEE"/>
    <w:rsid w:val="00F70E11"/>
    <w:rsid w:val="00F70E35"/>
    <w:rsid w:val="00F71198"/>
    <w:rsid w:val="00F71558"/>
    <w:rsid w:val="00F71865"/>
    <w:rsid w:val="00F71B3A"/>
    <w:rsid w:val="00F71B48"/>
    <w:rsid w:val="00F71D12"/>
    <w:rsid w:val="00F71D8E"/>
    <w:rsid w:val="00F72203"/>
    <w:rsid w:val="00F722D3"/>
    <w:rsid w:val="00F7256F"/>
    <w:rsid w:val="00F728C0"/>
    <w:rsid w:val="00F72A8E"/>
    <w:rsid w:val="00F72C62"/>
    <w:rsid w:val="00F72D25"/>
    <w:rsid w:val="00F72DCF"/>
    <w:rsid w:val="00F72E46"/>
    <w:rsid w:val="00F72F2B"/>
    <w:rsid w:val="00F7301A"/>
    <w:rsid w:val="00F73411"/>
    <w:rsid w:val="00F73588"/>
    <w:rsid w:val="00F73619"/>
    <w:rsid w:val="00F73EB4"/>
    <w:rsid w:val="00F73F47"/>
    <w:rsid w:val="00F74018"/>
    <w:rsid w:val="00F7414E"/>
    <w:rsid w:val="00F74391"/>
    <w:rsid w:val="00F74539"/>
    <w:rsid w:val="00F7482E"/>
    <w:rsid w:val="00F748DA"/>
    <w:rsid w:val="00F749D8"/>
    <w:rsid w:val="00F749EC"/>
    <w:rsid w:val="00F75027"/>
    <w:rsid w:val="00F750FE"/>
    <w:rsid w:val="00F75843"/>
    <w:rsid w:val="00F75EFF"/>
    <w:rsid w:val="00F75FBF"/>
    <w:rsid w:val="00F761E8"/>
    <w:rsid w:val="00F76532"/>
    <w:rsid w:val="00F765F7"/>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9BD"/>
    <w:rsid w:val="00F81C53"/>
    <w:rsid w:val="00F81F49"/>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4C1"/>
    <w:rsid w:val="00F85C45"/>
    <w:rsid w:val="00F85C9D"/>
    <w:rsid w:val="00F86379"/>
    <w:rsid w:val="00F8646C"/>
    <w:rsid w:val="00F86749"/>
    <w:rsid w:val="00F87011"/>
    <w:rsid w:val="00F87035"/>
    <w:rsid w:val="00F8704D"/>
    <w:rsid w:val="00F87140"/>
    <w:rsid w:val="00F8723D"/>
    <w:rsid w:val="00F87256"/>
    <w:rsid w:val="00F87A60"/>
    <w:rsid w:val="00F87AD3"/>
    <w:rsid w:val="00F87BD8"/>
    <w:rsid w:val="00F87CEF"/>
    <w:rsid w:val="00F87EE7"/>
    <w:rsid w:val="00F87F59"/>
    <w:rsid w:val="00F905A7"/>
    <w:rsid w:val="00F907C2"/>
    <w:rsid w:val="00F90ACB"/>
    <w:rsid w:val="00F90FC0"/>
    <w:rsid w:val="00F90FE7"/>
    <w:rsid w:val="00F9101F"/>
    <w:rsid w:val="00F911F5"/>
    <w:rsid w:val="00F915FC"/>
    <w:rsid w:val="00F9163E"/>
    <w:rsid w:val="00F91966"/>
    <w:rsid w:val="00F91B16"/>
    <w:rsid w:val="00F91D33"/>
    <w:rsid w:val="00F920D1"/>
    <w:rsid w:val="00F92318"/>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954"/>
    <w:rsid w:val="00F95AFE"/>
    <w:rsid w:val="00F95EE8"/>
    <w:rsid w:val="00F95F0E"/>
    <w:rsid w:val="00F9610D"/>
    <w:rsid w:val="00F96AA9"/>
    <w:rsid w:val="00F96D06"/>
    <w:rsid w:val="00F96FD2"/>
    <w:rsid w:val="00F97065"/>
    <w:rsid w:val="00F9708B"/>
    <w:rsid w:val="00F971AF"/>
    <w:rsid w:val="00F97277"/>
    <w:rsid w:val="00F972BE"/>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0DA"/>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1F7"/>
    <w:rsid w:val="00FA627D"/>
    <w:rsid w:val="00FA637E"/>
    <w:rsid w:val="00FA63AB"/>
    <w:rsid w:val="00FA642B"/>
    <w:rsid w:val="00FA667D"/>
    <w:rsid w:val="00FA6781"/>
    <w:rsid w:val="00FA67A8"/>
    <w:rsid w:val="00FA681C"/>
    <w:rsid w:val="00FA68BA"/>
    <w:rsid w:val="00FA6BE0"/>
    <w:rsid w:val="00FA6CE3"/>
    <w:rsid w:val="00FA6D9C"/>
    <w:rsid w:val="00FA70C5"/>
    <w:rsid w:val="00FA75C2"/>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14"/>
    <w:rsid w:val="00FB3ABA"/>
    <w:rsid w:val="00FB3AE4"/>
    <w:rsid w:val="00FB3B25"/>
    <w:rsid w:val="00FB3B68"/>
    <w:rsid w:val="00FB3ED3"/>
    <w:rsid w:val="00FB443F"/>
    <w:rsid w:val="00FB4935"/>
    <w:rsid w:val="00FB49BD"/>
    <w:rsid w:val="00FB4A12"/>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6EA8"/>
    <w:rsid w:val="00FB767F"/>
    <w:rsid w:val="00FB7797"/>
    <w:rsid w:val="00FB7941"/>
    <w:rsid w:val="00FB7ABE"/>
    <w:rsid w:val="00FB7F54"/>
    <w:rsid w:val="00FC02FC"/>
    <w:rsid w:val="00FC0BC1"/>
    <w:rsid w:val="00FC0F56"/>
    <w:rsid w:val="00FC10AB"/>
    <w:rsid w:val="00FC165F"/>
    <w:rsid w:val="00FC19E0"/>
    <w:rsid w:val="00FC1A16"/>
    <w:rsid w:val="00FC1CEA"/>
    <w:rsid w:val="00FC27AF"/>
    <w:rsid w:val="00FC2D0E"/>
    <w:rsid w:val="00FC3155"/>
    <w:rsid w:val="00FC3A9A"/>
    <w:rsid w:val="00FC3F07"/>
    <w:rsid w:val="00FC4186"/>
    <w:rsid w:val="00FC4187"/>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AC3"/>
    <w:rsid w:val="00FC6B98"/>
    <w:rsid w:val="00FC6C36"/>
    <w:rsid w:val="00FC6CE7"/>
    <w:rsid w:val="00FC6E31"/>
    <w:rsid w:val="00FC6E3B"/>
    <w:rsid w:val="00FC6F6A"/>
    <w:rsid w:val="00FC703D"/>
    <w:rsid w:val="00FC71BA"/>
    <w:rsid w:val="00FC7245"/>
    <w:rsid w:val="00FC7426"/>
    <w:rsid w:val="00FC75BD"/>
    <w:rsid w:val="00FC769B"/>
    <w:rsid w:val="00FC77D8"/>
    <w:rsid w:val="00FC7C4F"/>
    <w:rsid w:val="00FC7EAC"/>
    <w:rsid w:val="00FD0107"/>
    <w:rsid w:val="00FD0494"/>
    <w:rsid w:val="00FD04BB"/>
    <w:rsid w:val="00FD0642"/>
    <w:rsid w:val="00FD06CC"/>
    <w:rsid w:val="00FD0765"/>
    <w:rsid w:val="00FD11D1"/>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1240"/>
    <w:rsid w:val="00FE131C"/>
    <w:rsid w:val="00FE14C3"/>
    <w:rsid w:val="00FE1784"/>
    <w:rsid w:val="00FE18D3"/>
    <w:rsid w:val="00FE1AF4"/>
    <w:rsid w:val="00FE2135"/>
    <w:rsid w:val="00FE230D"/>
    <w:rsid w:val="00FE25FC"/>
    <w:rsid w:val="00FE2A4B"/>
    <w:rsid w:val="00FE2D50"/>
    <w:rsid w:val="00FE3139"/>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8E4"/>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64"/>
    <w:rsid w:val="00FF55AF"/>
    <w:rsid w:val="00FF5CD8"/>
    <w:rsid w:val="00FF5D7E"/>
    <w:rsid w:val="00FF5EA0"/>
    <w:rsid w:val="00FF6158"/>
    <w:rsid w:val="00FF61B9"/>
    <w:rsid w:val="00FF6204"/>
    <w:rsid w:val="00FF6322"/>
    <w:rsid w:val="00FF71E9"/>
    <w:rsid w:val="00FF7429"/>
    <w:rsid w:val="00FF74CE"/>
    <w:rsid w:val="00FF75BC"/>
    <w:rsid w:val="00FF76DC"/>
    <w:rsid w:val="00FF79BA"/>
    <w:rsid w:val="00FF7BF6"/>
    <w:rsid w:val="00FF7E0D"/>
    <w:rsid w:val="00FF7ED6"/>
    <w:rsid w:val="00FF7F09"/>
    <w:rsid w:val="086155E8"/>
    <w:rsid w:val="0ACF4B46"/>
    <w:rsid w:val="0E1B72D5"/>
    <w:rsid w:val="1B430378"/>
    <w:rsid w:val="2F0C46F7"/>
    <w:rsid w:val="3E983467"/>
    <w:rsid w:val="4ECE3417"/>
    <w:rsid w:val="51DB2094"/>
    <w:rsid w:val="56DB63BF"/>
    <w:rsid w:val="59CE5812"/>
    <w:rsid w:val="60E03BD8"/>
    <w:rsid w:val="62836988"/>
    <w:rsid w:val="6DC40958"/>
    <w:rsid w:val="6FE55CC5"/>
    <w:rsid w:val="74C66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815216"/>
  <w15:docId w15:val="{3480626F-63F2-4286-8E3F-C39220E0C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0497"/>
    <w:rPr>
      <w:sz w:val="24"/>
      <w:szCs w:val="24"/>
    </w:rPr>
  </w:style>
  <w:style w:type="paragraph" w:styleId="1">
    <w:name w:val="heading 1"/>
    <w:basedOn w:val="a"/>
    <w:next w:val="a"/>
    <w:link w:val="10"/>
    <w:qFormat/>
    <w:pPr>
      <w:keepNext/>
      <w:spacing w:before="120" w:after="12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lang w:eastAsia="en-US"/>
    </w:rPr>
  </w:style>
  <w:style w:type="paragraph" w:styleId="4">
    <w:name w:val="heading 4"/>
    <w:basedOn w:val="a"/>
    <w:next w:val="a"/>
    <w:qFormat/>
    <w:pPr>
      <w:keepNext/>
      <w:spacing w:before="240" w:after="60"/>
      <w:outlineLvl w:val="3"/>
    </w:pPr>
    <w:rPr>
      <w:rFonts w:eastAsia="MS Mincho"/>
      <w:b/>
      <w:bCs/>
      <w:sz w:val="28"/>
      <w:szCs w:val="28"/>
      <w:lang w:eastAsia="en-US"/>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spacing w:after="120"/>
      <w:ind w:leftChars="400" w:left="100" w:hangingChars="200" w:hanging="200"/>
      <w:contextualSpacing/>
    </w:pPr>
    <w:rPr>
      <w:sz w:val="20"/>
      <w:lang w:eastAsia="en-US"/>
    </w:rPr>
  </w:style>
  <w:style w:type="paragraph" w:styleId="a3">
    <w:name w:val="caption"/>
    <w:basedOn w:val="a"/>
    <w:next w:val="a"/>
    <w:link w:val="a4"/>
    <w:qFormat/>
    <w:pPr>
      <w:overflowPunct w:val="0"/>
      <w:autoSpaceDE w:val="0"/>
      <w:autoSpaceDN w:val="0"/>
      <w:adjustRightInd w:val="0"/>
      <w:spacing w:before="120" w:after="120"/>
      <w:textAlignment w:val="baseline"/>
    </w:pPr>
    <w:rPr>
      <w:sz w:val="20"/>
      <w:szCs w:val="20"/>
      <w:lang w:val="en-GB" w:eastAsia="en-US"/>
    </w:rPr>
  </w:style>
  <w:style w:type="paragraph" w:styleId="a5">
    <w:name w:val="List Bullet"/>
    <w:basedOn w:val="a6"/>
    <w:semiHidden/>
    <w:qFormat/>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6">
    <w:name w:val="List"/>
    <w:basedOn w:val="a"/>
    <w:qFormat/>
    <w:pPr>
      <w:spacing w:after="120"/>
      <w:ind w:left="283" w:hanging="283"/>
    </w:pPr>
    <w:rPr>
      <w:sz w:val="20"/>
      <w:lang w:eastAsia="en-US"/>
    </w:rPr>
  </w:style>
  <w:style w:type="paragraph" w:styleId="a7">
    <w:name w:val="Document Map"/>
    <w:basedOn w:val="a"/>
    <w:semiHidden/>
    <w:qFormat/>
    <w:pPr>
      <w:shd w:val="clear" w:color="auto" w:fill="000080"/>
      <w:spacing w:after="120"/>
    </w:pPr>
    <w:rPr>
      <w:sz w:val="20"/>
      <w:lang w:eastAsia="en-US"/>
    </w:rPr>
  </w:style>
  <w:style w:type="paragraph" w:styleId="a8">
    <w:name w:val="annotation text"/>
    <w:basedOn w:val="a"/>
    <w:link w:val="a9"/>
    <w:qFormat/>
    <w:pPr>
      <w:spacing w:after="120"/>
    </w:pPr>
    <w:rPr>
      <w:sz w:val="20"/>
      <w:lang w:eastAsia="en-US"/>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b"/>
    <w:qFormat/>
    <w:pPr>
      <w:spacing w:after="120"/>
      <w:jc w:val="both"/>
    </w:pPr>
    <w:rPr>
      <w:rFonts w:eastAsia="MS Mincho"/>
      <w:sz w:val="20"/>
      <w:lang w:eastAsia="en-US"/>
    </w:rPr>
  </w:style>
  <w:style w:type="paragraph" w:styleId="2">
    <w:name w:val="List 2"/>
    <w:basedOn w:val="a6"/>
    <w:qFormat/>
    <w:pPr>
      <w:numPr>
        <w:numId w:val="1"/>
      </w:numPr>
      <w:spacing w:before="180"/>
    </w:pPr>
    <w:rPr>
      <w:rFonts w:ascii="Arial" w:hAnsi="Arial"/>
      <w:sz w:val="22"/>
      <w:szCs w:val="20"/>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after="120"/>
    </w:pPr>
    <w:rPr>
      <w:sz w:val="20"/>
      <w:lang w:eastAsia="en-US"/>
    </w:r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spacing w:after="120"/>
    </w:pPr>
    <w:rPr>
      <w:sz w:val="18"/>
      <w:szCs w:val="18"/>
      <w:lang w:eastAsia="en-US"/>
    </w:rPr>
  </w:style>
  <w:style w:type="paragraph" w:styleId="ae">
    <w:name w:val="header"/>
    <w:basedOn w:val="a"/>
    <w:link w:val="af"/>
    <w:qFormat/>
    <w:pPr>
      <w:tabs>
        <w:tab w:val="center" w:pos="4536"/>
        <w:tab w:val="right" w:pos="9072"/>
      </w:tabs>
      <w:spacing w:after="120"/>
    </w:pPr>
    <w:rPr>
      <w:rFonts w:ascii="Arial" w:eastAsia="MS Mincho" w:hAnsi="Arial"/>
      <w:b/>
      <w:sz w:val="20"/>
      <w:lang w:eastAsia="en-US"/>
    </w:rPr>
  </w:style>
  <w:style w:type="paragraph" w:styleId="50">
    <w:name w:val="List 5"/>
    <w:basedOn w:val="a"/>
    <w:qFormat/>
    <w:pPr>
      <w:spacing w:after="120"/>
      <w:ind w:leftChars="800" w:left="100" w:hangingChars="200" w:hanging="200"/>
      <w:contextualSpacing/>
    </w:pPr>
    <w:rPr>
      <w:sz w:val="20"/>
      <w:lang w:eastAsia="en-US"/>
    </w:rPr>
  </w:style>
  <w:style w:type="paragraph" w:styleId="40">
    <w:name w:val="List 4"/>
    <w:basedOn w:val="a"/>
    <w:qFormat/>
    <w:pPr>
      <w:spacing w:after="120"/>
      <w:ind w:leftChars="600" w:left="100" w:hangingChars="200" w:hanging="200"/>
      <w:contextualSpacing/>
    </w:pPr>
    <w:rPr>
      <w:sz w:val="20"/>
      <w:lang w:eastAsia="en-US"/>
    </w:rPr>
  </w:style>
  <w:style w:type="paragraph" w:styleId="HTML">
    <w:name w:val="HTML Preformatted"/>
    <w:basedOn w:val="a"/>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af0">
    <w:name w:val="annotation subject"/>
    <w:basedOn w:val="a8"/>
    <w:next w:val="a8"/>
    <w:semiHidden/>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Hyperlink"/>
    <w:uiPriority w:val="99"/>
    <w:qFormat/>
    <w:rPr>
      <w:color w:val="0000FF"/>
      <w:u w:val="single"/>
    </w:rPr>
  </w:style>
  <w:style w:type="character" w:styleId="af4">
    <w:name w:val="annotation reference"/>
    <w:qFormat/>
    <w:rPr>
      <w:sz w:val="21"/>
      <w:szCs w:val="21"/>
    </w:rPr>
  </w:style>
  <w:style w:type="character" w:customStyle="1" w:styleId="a4">
    <w:name w:val="题注 字符"/>
    <w:link w:val="a3"/>
    <w:qFormat/>
    <w:rPr>
      <w:lang w:val="en-GB" w:eastAsia="en-US" w:bidi="ar-SA"/>
    </w:rPr>
  </w:style>
  <w:style w:type="paragraph" w:customStyle="1" w:styleId="TAC">
    <w:name w:val="TAC"/>
    <w:basedOn w:val="a"/>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spacing w:after="120"/>
    </w:pPr>
    <w:rPr>
      <w:rFonts w:ascii="Arial" w:hAnsi="Arial"/>
      <w:sz w:val="18"/>
      <w:szCs w:val="20"/>
      <w:lang w:val="en-GB" w:eastAsia="en-US"/>
    </w:rPr>
  </w:style>
  <w:style w:type="paragraph" w:customStyle="1" w:styleId="TAH">
    <w:name w:val="TAH"/>
    <w:basedOn w:val="a"/>
    <w:qFormat/>
    <w:pPr>
      <w:keepNext/>
      <w:keepLines/>
      <w:spacing w:after="120"/>
      <w:jc w:val="center"/>
    </w:pPr>
    <w:rPr>
      <w:rFonts w:ascii="Arial" w:hAnsi="Arial"/>
      <w:b/>
      <w:sz w:val="18"/>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a"/>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a"/>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hAnsi="宋体" w:cs="宋体"/>
    </w:rPr>
  </w:style>
  <w:style w:type="paragraph" w:customStyle="1" w:styleId="ecxmsonormal">
    <w:name w:val="ecxmsonormal"/>
    <w:basedOn w:val="a"/>
    <w:qFormat/>
    <w:pPr>
      <w:spacing w:before="100" w:beforeAutospacing="1" w:after="100" w:afterAutospacing="1"/>
    </w:pPr>
    <w:rPr>
      <w:rFonts w:ascii="宋体" w:hAnsi="宋体" w:cs="宋体"/>
    </w:rPr>
  </w:style>
  <w:style w:type="paragraph" w:styleId="af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
    <w:link w:val="af6"/>
    <w:uiPriority w:val="34"/>
    <w:qFormat/>
    <w:pPr>
      <w:widowControl w:val="0"/>
      <w:spacing w:after="12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6"/>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after="120"/>
      <w:jc w:val="both"/>
      <w:textAlignment w:val="baseline"/>
    </w:pPr>
    <w:rPr>
      <w:rFonts w:ascii="Arial" w:eastAsiaTheme="minorEastAsia" w:hAnsi="Arial"/>
      <w:b/>
      <w:bCs/>
      <w:sz w:val="20"/>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f5"/>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9">
    <w:name w:val="批注文字 字符"/>
    <w:basedOn w:val="a0"/>
    <w:link w:val="a8"/>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jc w:val="both"/>
    </w:pPr>
    <w:rPr>
      <w:kern w:val="2"/>
      <w:sz w:val="21"/>
      <w:szCs w:val="21"/>
    </w:rPr>
  </w:style>
  <w:style w:type="paragraph" w:customStyle="1" w:styleId="ListParagraph1">
    <w:name w:val="List Paragraph1"/>
    <w:basedOn w:val="a"/>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link w:val="EditorsNoteChar"/>
    <w:qFormat/>
    <w:pPr>
      <w:ind w:left="1702" w:hanging="1418"/>
    </w:pPr>
    <w:rPr>
      <w:color w:val="FF0000"/>
      <w:lang w:eastAsia="zh-CN"/>
    </w:rPr>
  </w:style>
  <w:style w:type="paragraph" w:customStyle="1" w:styleId="Doc-title">
    <w:name w:val="Doc-title"/>
    <w:basedOn w:val="a"/>
    <w:next w:val="Doc-text2"/>
    <w:qFormat/>
    <w:pPr>
      <w:spacing w:before="60" w:after="120"/>
      <w:ind w:left="1259" w:hanging="1259"/>
    </w:pPr>
    <w:rPr>
      <w:sz w:val="20"/>
      <w:lang w:eastAsia="en-US"/>
    </w:rPr>
  </w:style>
  <w:style w:type="paragraph" w:customStyle="1" w:styleId="Comments">
    <w:name w:val="Comments"/>
    <w:basedOn w:val="a"/>
    <w:link w:val="CommentsChar"/>
    <w:qFormat/>
    <w:rPr>
      <w:i/>
      <w:sz w:val="18"/>
    </w:rPr>
  </w:style>
  <w:style w:type="paragraph" w:customStyle="1" w:styleId="3GPPHeader">
    <w:name w:val="3GPP_Header"/>
    <w:basedOn w:val="a"/>
    <w:qFormat/>
    <w:pPr>
      <w:tabs>
        <w:tab w:val="left" w:pos="1701"/>
        <w:tab w:val="right" w:pos="9639"/>
      </w:tabs>
      <w:spacing w:after="240"/>
    </w:pPr>
    <w:rPr>
      <w:b/>
    </w:rPr>
  </w:style>
  <w:style w:type="paragraph" w:customStyle="1" w:styleId="22">
    <w:name w:val="正文2"/>
    <w:qFormat/>
    <w:pPr>
      <w:jc w:val="both"/>
    </w:pPr>
    <w:rPr>
      <w:kern w:val="2"/>
      <w:sz w:val="21"/>
      <w:szCs w:val="21"/>
    </w:rPr>
  </w:style>
  <w:style w:type="paragraph" w:customStyle="1" w:styleId="23">
    <w:name w:val="修订2"/>
    <w:hidden/>
    <w:uiPriority w:val="99"/>
    <w:semiHidden/>
    <w:qFormat/>
    <w:rPr>
      <w:sz w:val="24"/>
      <w:szCs w:val="24"/>
    </w:rPr>
  </w:style>
  <w:style w:type="paragraph" w:styleId="af7">
    <w:name w:val="Revision"/>
    <w:hidden/>
    <w:uiPriority w:val="99"/>
    <w:semiHidden/>
    <w:rsid w:val="004A1FCE"/>
    <w:rPr>
      <w:sz w:val="24"/>
      <w:szCs w:val="24"/>
    </w:rPr>
  </w:style>
  <w:style w:type="character" w:customStyle="1" w:styleId="EditorsNoteChar">
    <w:name w:val="Editor's Note Char"/>
    <w:aliases w:val="EN Char"/>
    <w:link w:val="EditorsNote"/>
    <w:qFormat/>
    <w:locked/>
    <w:rsid w:val="008D11D3"/>
    <w:rPr>
      <w:rFonts w:eastAsiaTheme="minorEastAsia"/>
      <w:color w:val="FF0000"/>
      <w:lang w:val="en-GB"/>
    </w:rPr>
  </w:style>
  <w:style w:type="character" w:customStyle="1" w:styleId="CommentsChar">
    <w:name w:val="Comments Char"/>
    <w:link w:val="Comments"/>
    <w:qFormat/>
    <w:rsid w:val="007C7465"/>
    <w:rPr>
      <w: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89308">
      <w:bodyDiv w:val="1"/>
      <w:marLeft w:val="0"/>
      <w:marRight w:val="0"/>
      <w:marTop w:val="0"/>
      <w:marBottom w:val="0"/>
      <w:divBdr>
        <w:top w:val="none" w:sz="0" w:space="0" w:color="auto"/>
        <w:left w:val="none" w:sz="0" w:space="0" w:color="auto"/>
        <w:bottom w:val="none" w:sz="0" w:space="0" w:color="auto"/>
        <w:right w:val="none" w:sz="0" w:space="0" w:color="auto"/>
      </w:divBdr>
    </w:div>
    <w:div w:id="172768487">
      <w:bodyDiv w:val="1"/>
      <w:marLeft w:val="0"/>
      <w:marRight w:val="0"/>
      <w:marTop w:val="0"/>
      <w:marBottom w:val="0"/>
      <w:divBdr>
        <w:top w:val="none" w:sz="0" w:space="0" w:color="auto"/>
        <w:left w:val="none" w:sz="0" w:space="0" w:color="auto"/>
        <w:bottom w:val="none" w:sz="0" w:space="0" w:color="auto"/>
        <w:right w:val="none" w:sz="0" w:space="0" w:color="auto"/>
      </w:divBdr>
    </w:div>
    <w:div w:id="346521273">
      <w:bodyDiv w:val="1"/>
      <w:marLeft w:val="0"/>
      <w:marRight w:val="0"/>
      <w:marTop w:val="0"/>
      <w:marBottom w:val="0"/>
      <w:divBdr>
        <w:top w:val="none" w:sz="0" w:space="0" w:color="auto"/>
        <w:left w:val="none" w:sz="0" w:space="0" w:color="auto"/>
        <w:bottom w:val="none" w:sz="0" w:space="0" w:color="auto"/>
        <w:right w:val="none" w:sz="0" w:space="0" w:color="auto"/>
      </w:divBdr>
    </w:div>
    <w:div w:id="353194517">
      <w:bodyDiv w:val="1"/>
      <w:marLeft w:val="0"/>
      <w:marRight w:val="0"/>
      <w:marTop w:val="0"/>
      <w:marBottom w:val="0"/>
      <w:divBdr>
        <w:top w:val="none" w:sz="0" w:space="0" w:color="auto"/>
        <w:left w:val="none" w:sz="0" w:space="0" w:color="auto"/>
        <w:bottom w:val="none" w:sz="0" w:space="0" w:color="auto"/>
        <w:right w:val="none" w:sz="0" w:space="0" w:color="auto"/>
      </w:divBdr>
    </w:div>
    <w:div w:id="690187734">
      <w:bodyDiv w:val="1"/>
      <w:marLeft w:val="0"/>
      <w:marRight w:val="0"/>
      <w:marTop w:val="0"/>
      <w:marBottom w:val="0"/>
      <w:divBdr>
        <w:top w:val="none" w:sz="0" w:space="0" w:color="auto"/>
        <w:left w:val="none" w:sz="0" w:space="0" w:color="auto"/>
        <w:bottom w:val="none" w:sz="0" w:space="0" w:color="auto"/>
        <w:right w:val="none" w:sz="0" w:space="0" w:color="auto"/>
      </w:divBdr>
    </w:div>
    <w:div w:id="733165959">
      <w:bodyDiv w:val="1"/>
      <w:marLeft w:val="0"/>
      <w:marRight w:val="0"/>
      <w:marTop w:val="0"/>
      <w:marBottom w:val="0"/>
      <w:divBdr>
        <w:top w:val="none" w:sz="0" w:space="0" w:color="auto"/>
        <w:left w:val="none" w:sz="0" w:space="0" w:color="auto"/>
        <w:bottom w:val="none" w:sz="0" w:space="0" w:color="auto"/>
        <w:right w:val="none" w:sz="0" w:space="0" w:color="auto"/>
      </w:divBdr>
    </w:div>
    <w:div w:id="780302246">
      <w:bodyDiv w:val="1"/>
      <w:marLeft w:val="0"/>
      <w:marRight w:val="0"/>
      <w:marTop w:val="0"/>
      <w:marBottom w:val="0"/>
      <w:divBdr>
        <w:top w:val="none" w:sz="0" w:space="0" w:color="auto"/>
        <w:left w:val="none" w:sz="0" w:space="0" w:color="auto"/>
        <w:bottom w:val="none" w:sz="0" w:space="0" w:color="auto"/>
        <w:right w:val="none" w:sz="0" w:space="0" w:color="auto"/>
      </w:divBdr>
      <w:divsChild>
        <w:div w:id="1614366286">
          <w:marLeft w:val="360"/>
          <w:marRight w:val="0"/>
          <w:marTop w:val="200"/>
          <w:marBottom w:val="0"/>
          <w:divBdr>
            <w:top w:val="none" w:sz="0" w:space="0" w:color="auto"/>
            <w:left w:val="none" w:sz="0" w:space="0" w:color="auto"/>
            <w:bottom w:val="none" w:sz="0" w:space="0" w:color="auto"/>
            <w:right w:val="none" w:sz="0" w:space="0" w:color="auto"/>
          </w:divBdr>
        </w:div>
      </w:divsChild>
    </w:div>
    <w:div w:id="994145716">
      <w:bodyDiv w:val="1"/>
      <w:marLeft w:val="0"/>
      <w:marRight w:val="0"/>
      <w:marTop w:val="0"/>
      <w:marBottom w:val="0"/>
      <w:divBdr>
        <w:top w:val="none" w:sz="0" w:space="0" w:color="auto"/>
        <w:left w:val="none" w:sz="0" w:space="0" w:color="auto"/>
        <w:bottom w:val="none" w:sz="0" w:space="0" w:color="auto"/>
        <w:right w:val="none" w:sz="0" w:space="0" w:color="auto"/>
      </w:divBdr>
      <w:divsChild>
        <w:div w:id="405035228">
          <w:marLeft w:val="1440"/>
          <w:marRight w:val="0"/>
          <w:marTop w:val="100"/>
          <w:marBottom w:val="0"/>
          <w:divBdr>
            <w:top w:val="none" w:sz="0" w:space="0" w:color="auto"/>
            <w:left w:val="none" w:sz="0" w:space="0" w:color="auto"/>
            <w:bottom w:val="none" w:sz="0" w:space="0" w:color="auto"/>
            <w:right w:val="none" w:sz="0" w:space="0" w:color="auto"/>
          </w:divBdr>
        </w:div>
        <w:div w:id="614020211">
          <w:marLeft w:val="1440"/>
          <w:marRight w:val="0"/>
          <w:marTop w:val="100"/>
          <w:marBottom w:val="0"/>
          <w:divBdr>
            <w:top w:val="none" w:sz="0" w:space="0" w:color="auto"/>
            <w:left w:val="none" w:sz="0" w:space="0" w:color="auto"/>
            <w:bottom w:val="none" w:sz="0" w:space="0" w:color="auto"/>
            <w:right w:val="none" w:sz="0" w:space="0" w:color="auto"/>
          </w:divBdr>
        </w:div>
      </w:divsChild>
    </w:div>
    <w:div w:id="1109811652">
      <w:bodyDiv w:val="1"/>
      <w:marLeft w:val="0"/>
      <w:marRight w:val="0"/>
      <w:marTop w:val="0"/>
      <w:marBottom w:val="0"/>
      <w:divBdr>
        <w:top w:val="none" w:sz="0" w:space="0" w:color="auto"/>
        <w:left w:val="none" w:sz="0" w:space="0" w:color="auto"/>
        <w:bottom w:val="none" w:sz="0" w:space="0" w:color="auto"/>
        <w:right w:val="none" w:sz="0" w:space="0" w:color="auto"/>
      </w:divBdr>
      <w:divsChild>
        <w:div w:id="1416052335">
          <w:marLeft w:val="360"/>
          <w:marRight w:val="0"/>
          <w:marTop w:val="200"/>
          <w:marBottom w:val="0"/>
          <w:divBdr>
            <w:top w:val="none" w:sz="0" w:space="0" w:color="auto"/>
            <w:left w:val="none" w:sz="0" w:space="0" w:color="auto"/>
            <w:bottom w:val="none" w:sz="0" w:space="0" w:color="auto"/>
            <w:right w:val="none" w:sz="0" w:space="0" w:color="auto"/>
          </w:divBdr>
        </w:div>
        <w:div w:id="755901763">
          <w:marLeft w:val="360"/>
          <w:marRight w:val="0"/>
          <w:marTop w:val="200"/>
          <w:marBottom w:val="0"/>
          <w:divBdr>
            <w:top w:val="none" w:sz="0" w:space="0" w:color="auto"/>
            <w:left w:val="none" w:sz="0" w:space="0" w:color="auto"/>
            <w:bottom w:val="none" w:sz="0" w:space="0" w:color="auto"/>
            <w:right w:val="none" w:sz="0" w:space="0" w:color="auto"/>
          </w:divBdr>
        </w:div>
        <w:div w:id="1953509178">
          <w:marLeft w:val="360"/>
          <w:marRight w:val="0"/>
          <w:marTop w:val="200"/>
          <w:marBottom w:val="0"/>
          <w:divBdr>
            <w:top w:val="none" w:sz="0" w:space="0" w:color="auto"/>
            <w:left w:val="none" w:sz="0" w:space="0" w:color="auto"/>
            <w:bottom w:val="none" w:sz="0" w:space="0" w:color="auto"/>
            <w:right w:val="none" w:sz="0" w:space="0" w:color="auto"/>
          </w:divBdr>
        </w:div>
        <w:div w:id="1144544543">
          <w:marLeft w:val="360"/>
          <w:marRight w:val="0"/>
          <w:marTop w:val="200"/>
          <w:marBottom w:val="0"/>
          <w:divBdr>
            <w:top w:val="none" w:sz="0" w:space="0" w:color="auto"/>
            <w:left w:val="none" w:sz="0" w:space="0" w:color="auto"/>
            <w:bottom w:val="none" w:sz="0" w:space="0" w:color="auto"/>
            <w:right w:val="none" w:sz="0" w:space="0" w:color="auto"/>
          </w:divBdr>
        </w:div>
        <w:div w:id="577710239">
          <w:marLeft w:val="360"/>
          <w:marRight w:val="0"/>
          <w:marTop w:val="200"/>
          <w:marBottom w:val="0"/>
          <w:divBdr>
            <w:top w:val="none" w:sz="0" w:space="0" w:color="auto"/>
            <w:left w:val="none" w:sz="0" w:space="0" w:color="auto"/>
            <w:bottom w:val="none" w:sz="0" w:space="0" w:color="auto"/>
            <w:right w:val="none" w:sz="0" w:space="0" w:color="auto"/>
          </w:divBdr>
        </w:div>
        <w:div w:id="144468884">
          <w:marLeft w:val="360"/>
          <w:marRight w:val="0"/>
          <w:marTop w:val="200"/>
          <w:marBottom w:val="0"/>
          <w:divBdr>
            <w:top w:val="none" w:sz="0" w:space="0" w:color="auto"/>
            <w:left w:val="none" w:sz="0" w:space="0" w:color="auto"/>
            <w:bottom w:val="none" w:sz="0" w:space="0" w:color="auto"/>
            <w:right w:val="none" w:sz="0" w:space="0" w:color="auto"/>
          </w:divBdr>
        </w:div>
      </w:divsChild>
    </w:div>
    <w:div w:id="1701323581">
      <w:bodyDiv w:val="1"/>
      <w:marLeft w:val="0"/>
      <w:marRight w:val="0"/>
      <w:marTop w:val="0"/>
      <w:marBottom w:val="0"/>
      <w:divBdr>
        <w:top w:val="none" w:sz="0" w:space="0" w:color="auto"/>
        <w:left w:val="none" w:sz="0" w:space="0" w:color="auto"/>
        <w:bottom w:val="none" w:sz="0" w:space="0" w:color="auto"/>
        <w:right w:val="none" w:sz="0" w:space="0" w:color="auto"/>
      </w:divBdr>
    </w:div>
    <w:div w:id="2093699301">
      <w:bodyDiv w:val="1"/>
      <w:marLeft w:val="0"/>
      <w:marRight w:val="0"/>
      <w:marTop w:val="0"/>
      <w:marBottom w:val="0"/>
      <w:divBdr>
        <w:top w:val="none" w:sz="0" w:space="0" w:color="auto"/>
        <w:left w:val="none" w:sz="0" w:space="0" w:color="auto"/>
        <w:bottom w:val="none" w:sz="0" w:space="0" w:color="auto"/>
        <w:right w:val="none" w:sz="0" w:space="0" w:color="auto"/>
      </w:divBdr>
    </w:div>
    <w:div w:id="2121759940">
      <w:bodyDiv w:val="1"/>
      <w:marLeft w:val="0"/>
      <w:marRight w:val="0"/>
      <w:marTop w:val="0"/>
      <w:marBottom w:val="0"/>
      <w:divBdr>
        <w:top w:val="none" w:sz="0" w:space="0" w:color="auto"/>
        <w:left w:val="none" w:sz="0" w:space="0" w:color="auto"/>
        <w:bottom w:val="none" w:sz="0" w:space="0" w:color="auto"/>
        <w:right w:val="none" w:sz="0" w:space="0" w:color="auto"/>
      </w:divBdr>
      <w:divsChild>
        <w:div w:id="181359899">
          <w:marLeft w:val="1440"/>
          <w:marRight w:val="0"/>
          <w:marTop w:val="100"/>
          <w:marBottom w:val="0"/>
          <w:divBdr>
            <w:top w:val="none" w:sz="0" w:space="0" w:color="auto"/>
            <w:left w:val="none" w:sz="0" w:space="0" w:color="auto"/>
            <w:bottom w:val="none" w:sz="0" w:space="0" w:color="auto"/>
            <w:right w:val="none" w:sz="0" w:space="0" w:color="auto"/>
          </w:divBdr>
        </w:div>
        <w:div w:id="644696990">
          <w:marLeft w:val="1440"/>
          <w:marRight w:val="0"/>
          <w:marTop w:val="100"/>
          <w:marBottom w:val="0"/>
          <w:divBdr>
            <w:top w:val="none" w:sz="0" w:space="0" w:color="auto"/>
            <w:left w:val="none" w:sz="0" w:space="0" w:color="auto"/>
            <w:bottom w:val="none" w:sz="0" w:space="0" w:color="auto"/>
            <w:right w:val="none" w:sz="0" w:space="0" w:color="auto"/>
          </w:divBdr>
        </w:div>
      </w:divsChild>
    </w:div>
    <w:div w:id="2126852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CFF666-197C-44EB-AF66-8D92359F72B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1201</Words>
  <Characters>6852</Characters>
  <Application>Microsoft Office Word</Application>
  <DocSecurity>0</DocSecurity>
  <Lines>57</Lines>
  <Paragraphs>16</Paragraphs>
  <ScaleCrop>false</ScaleCrop>
  <Company>vivo</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vivo-Chenli-After RAN2#117e</cp:lastModifiedBy>
  <cp:revision>13</cp:revision>
  <cp:lastPrinted>2020-07-22T11:45:00Z</cp:lastPrinted>
  <dcterms:created xsi:type="dcterms:W3CDTF">2022-03-11T06:59:00Z</dcterms:created>
  <dcterms:modified xsi:type="dcterms:W3CDTF">2022-03-11T07:29:00Z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704D0385E5E7489EBDAEC9F2F93D0C40</vt:lpwstr>
  </property>
</Properties>
</file>